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8C" w:rsidRPr="00EB1F94" w:rsidRDefault="00C0638C" w:rsidP="00970D99">
      <w:pPr>
        <w:pStyle w:val="Headingregular"/>
      </w:pPr>
      <w:bookmarkStart w:id="0" w:name="_Toc353977659"/>
      <w:bookmarkStart w:id="1" w:name="_Toc402269786"/>
      <w:bookmarkStart w:id="2" w:name="_Toc402270173"/>
      <w:bookmarkStart w:id="3" w:name="_Toc402446469"/>
      <w:bookmarkStart w:id="4" w:name="_Toc353878326"/>
      <w:bookmarkStart w:id="5" w:name="_Toc353977661"/>
    </w:p>
    <w:p w:rsidR="00A272D3" w:rsidRPr="00EB1F94" w:rsidRDefault="00A272D3" w:rsidP="00970D99">
      <w:pPr>
        <w:pStyle w:val="Headingregular"/>
      </w:pPr>
    </w:p>
    <w:p w:rsidR="00A272D3" w:rsidRPr="004B26E4" w:rsidRDefault="004B26E4" w:rsidP="00970D99">
      <w:pPr>
        <w:pStyle w:val="Headingregular"/>
        <w:rPr>
          <w:rStyle w:val="HeadingboldChar"/>
          <w:color w:val="auto"/>
        </w:rPr>
      </w:pPr>
      <w:r w:rsidRPr="004B26E4">
        <w:rPr>
          <w:color w:val="auto"/>
        </w:rPr>
        <w:t>Template Policies and P</w:t>
      </w:r>
      <w:r w:rsidR="00A272D3" w:rsidRPr="004B26E4">
        <w:rPr>
          <w:color w:val="auto"/>
        </w:rPr>
        <w:t xml:space="preserve">rocedures </w:t>
      </w:r>
      <w:r w:rsidR="00B113AD" w:rsidRPr="004B26E4">
        <w:rPr>
          <w:color w:val="auto"/>
        </w:rPr>
        <w:br/>
      </w:r>
      <w:r w:rsidRPr="004B26E4">
        <w:rPr>
          <w:rStyle w:val="HeadingboldChar"/>
          <w:color w:val="auto"/>
        </w:rPr>
        <w:t>for A</w:t>
      </w:r>
      <w:r w:rsidR="00074998" w:rsidRPr="004B26E4">
        <w:rPr>
          <w:rStyle w:val="HeadingboldChar"/>
          <w:color w:val="auto"/>
        </w:rPr>
        <w:t xml:space="preserve">ddressing </w:t>
      </w:r>
      <w:r w:rsidRPr="004B26E4">
        <w:rPr>
          <w:rStyle w:val="HeadingboldChar"/>
          <w:color w:val="auto"/>
        </w:rPr>
        <w:t>Vaccine P</w:t>
      </w:r>
      <w:r w:rsidR="00A272D3" w:rsidRPr="004B26E4">
        <w:rPr>
          <w:rStyle w:val="HeadingboldChar"/>
          <w:color w:val="auto"/>
        </w:rPr>
        <w:t>otency</w:t>
      </w:r>
      <w:r w:rsidRPr="004B26E4">
        <w:rPr>
          <w:rStyle w:val="HeadingboldChar"/>
          <w:color w:val="auto"/>
        </w:rPr>
        <w:t xml:space="preserve"> and Cold C</w:t>
      </w:r>
      <w:r w:rsidR="00FC73AF" w:rsidRPr="004B26E4">
        <w:rPr>
          <w:rStyle w:val="HeadingboldChar"/>
          <w:color w:val="auto"/>
        </w:rPr>
        <w:t>hain</w:t>
      </w:r>
      <w:r w:rsidRPr="004B26E4">
        <w:rPr>
          <w:rStyle w:val="HeadingboldChar"/>
          <w:color w:val="auto"/>
        </w:rPr>
        <w:t xml:space="preserve"> in General P</w:t>
      </w:r>
      <w:r w:rsidR="00A272D3" w:rsidRPr="004B26E4">
        <w:rPr>
          <w:rStyle w:val="HeadingboldChar"/>
          <w:color w:val="auto"/>
        </w:rPr>
        <w:t>ractice</w:t>
      </w:r>
    </w:p>
    <w:p w:rsidR="00C0638C" w:rsidRPr="004B26E4" w:rsidRDefault="00C0638C" w:rsidP="00970D99">
      <w:pPr>
        <w:pStyle w:val="Headingregular"/>
        <w:rPr>
          <w:color w:val="auto"/>
        </w:rPr>
      </w:pPr>
    </w:p>
    <w:p w:rsidR="00A9114C" w:rsidRPr="004B26E4" w:rsidRDefault="00A9114C" w:rsidP="00970D99">
      <w:pPr>
        <w:pStyle w:val="Headingregular"/>
        <w:rPr>
          <w:color w:val="auto"/>
          <w:sz w:val="52"/>
        </w:rPr>
      </w:pPr>
      <w:r w:rsidRPr="004B26E4">
        <w:rPr>
          <w:color w:val="auto"/>
          <w:sz w:val="52"/>
        </w:rPr>
        <w:t>Date</w:t>
      </w:r>
    </w:p>
    <w:p w:rsidR="00846CC9" w:rsidRPr="00B113AD" w:rsidRDefault="00A9114C" w:rsidP="00970D99">
      <w:pPr>
        <w:pStyle w:val="Headingregular"/>
      </w:pPr>
      <w:r w:rsidRPr="00B113AD">
        <w:br w:type="page"/>
      </w:r>
    </w:p>
    <w:p w:rsidR="00846CC9" w:rsidRPr="00036E83" w:rsidRDefault="00074998" w:rsidP="00970D99">
      <w:pPr>
        <w:pStyle w:val="Sub-heading"/>
        <w:rPr>
          <w:color w:val="auto"/>
        </w:rPr>
      </w:pPr>
      <w:r w:rsidRPr="00036E83">
        <w:rPr>
          <w:color w:val="auto"/>
        </w:rPr>
        <w:lastRenderedPageBreak/>
        <w:t>RACGP</w:t>
      </w:r>
      <w:r w:rsidR="00846CC9" w:rsidRPr="00036E83">
        <w:rPr>
          <w:color w:val="auto"/>
        </w:rPr>
        <w:t xml:space="preserve"> Standards</w:t>
      </w:r>
      <w:r w:rsidRPr="00036E83">
        <w:rPr>
          <w:color w:val="auto"/>
        </w:rPr>
        <w:t xml:space="preserve"> for General Practices</w:t>
      </w:r>
    </w:p>
    <w:p w:rsidR="00846CC9" w:rsidRPr="00A272D3" w:rsidRDefault="00846CC9" w:rsidP="00A272D3">
      <w:pPr>
        <w:pStyle w:val="Text"/>
      </w:pPr>
      <w:r w:rsidRPr="00A272D3">
        <w:t>Established in the 1990’s, the Royal Australian College of General Practitioners (RACGP) Standards for general practices (the Standards) and the associated accreditation processes were developed to encourage general practice quality improvement and the meeting of best practice standards.</w:t>
      </w:r>
    </w:p>
    <w:p w:rsidR="00074998" w:rsidRPr="00A272D3" w:rsidRDefault="00846CC9" w:rsidP="00A272D3">
      <w:pPr>
        <w:pStyle w:val="Text"/>
      </w:pPr>
      <w:r w:rsidRPr="00A272D3">
        <w:t xml:space="preserve">A general practice can self-assess against the Standards for </w:t>
      </w:r>
      <w:r w:rsidR="00074998" w:rsidRPr="00A272D3">
        <w:t>practice</w:t>
      </w:r>
      <w:r w:rsidRPr="00A272D3">
        <w:t xml:space="preserve"> </w:t>
      </w:r>
      <w:r w:rsidR="00074998" w:rsidRPr="00A272D3">
        <w:t xml:space="preserve">quality improvement, </w:t>
      </w:r>
      <w:r w:rsidRPr="00A272D3">
        <w:t xml:space="preserve">or seek independent accreditation by one of the four national approved agencies. </w:t>
      </w:r>
    </w:p>
    <w:p w:rsidR="00846CC9" w:rsidRPr="00A272D3" w:rsidRDefault="00846CC9" w:rsidP="00A272D3">
      <w:pPr>
        <w:pStyle w:val="Text"/>
      </w:pPr>
      <w:r w:rsidRPr="00A272D3">
        <w:t xml:space="preserve">Currently, these are:  </w:t>
      </w:r>
    </w:p>
    <w:p w:rsidR="00846CC9" w:rsidRPr="00074998" w:rsidRDefault="00846CC9" w:rsidP="00A272D3">
      <w:pPr>
        <w:pStyle w:val="Bullet1"/>
      </w:pPr>
      <w:r w:rsidRPr="00074998">
        <w:t>Australian General Practic</w:t>
      </w:r>
      <w:r w:rsidR="00074998" w:rsidRPr="00074998">
        <w:t>e Accreditation Limited (AGPAL)</w:t>
      </w:r>
      <w:r w:rsidRPr="00074998">
        <w:t xml:space="preserve"> </w:t>
      </w:r>
    </w:p>
    <w:p w:rsidR="00846CC9" w:rsidRPr="00074998" w:rsidRDefault="00846CC9" w:rsidP="00A272D3">
      <w:pPr>
        <w:pStyle w:val="Bullet1"/>
      </w:pPr>
      <w:r w:rsidRPr="00074998">
        <w:t>Quality Practice Accreditation</w:t>
      </w:r>
    </w:p>
    <w:p w:rsidR="00846CC9" w:rsidRPr="00074998" w:rsidRDefault="00846CC9" w:rsidP="00A272D3">
      <w:pPr>
        <w:pStyle w:val="Bullet1"/>
      </w:pPr>
      <w:r w:rsidRPr="00074998">
        <w:t>Global Mark Propriety Limited</w:t>
      </w:r>
    </w:p>
    <w:p w:rsidR="00846CC9" w:rsidRPr="0060032F" w:rsidRDefault="00846CC9" w:rsidP="00A272D3">
      <w:pPr>
        <w:pStyle w:val="Bullet1"/>
      </w:pPr>
      <w:r>
        <w:t>The Australian Council on Healthcare Standards</w:t>
      </w:r>
    </w:p>
    <w:p w:rsidR="009836E0" w:rsidRDefault="009836E0" w:rsidP="001A5B23">
      <w:pPr>
        <w:pStyle w:val="Tabletext"/>
      </w:pPr>
    </w:p>
    <w:p w:rsidR="001A5B23" w:rsidRPr="009836E0" w:rsidRDefault="009836E0" w:rsidP="001A5B23">
      <w:pPr>
        <w:pStyle w:val="Tabletext"/>
        <w:rPr>
          <w:b/>
        </w:rPr>
      </w:pPr>
      <w:r w:rsidRPr="009836E0">
        <w:rPr>
          <w:b/>
        </w:rPr>
        <w:t xml:space="preserve">Table: Comparison of the RACGP Standards for general practices, fourth and fifth edition criterion relating the vaccine storage and maintaining cold chain. </w:t>
      </w:r>
    </w:p>
    <w:p w:rsidR="009836E0" w:rsidRPr="00A272D3" w:rsidRDefault="009836E0" w:rsidP="001A5B23">
      <w:pPr>
        <w:pStyle w:val="Tabletext"/>
      </w:pPr>
    </w:p>
    <w:tbl>
      <w:tblPr>
        <w:tblStyle w:val="TableGrid"/>
        <w:tblW w:w="0" w:type="auto"/>
        <w:tblLook w:val="04A0" w:firstRow="1" w:lastRow="0" w:firstColumn="1" w:lastColumn="0" w:noHBand="0" w:noVBand="1"/>
      </w:tblPr>
      <w:tblGrid>
        <w:gridCol w:w="532"/>
        <w:gridCol w:w="4566"/>
        <w:gridCol w:w="4531"/>
      </w:tblGrid>
      <w:tr w:rsidR="0039387F" w:rsidRPr="001A5B23" w:rsidTr="00FC73AF">
        <w:tc>
          <w:tcPr>
            <w:tcW w:w="532" w:type="dxa"/>
            <w:vMerge w:val="restart"/>
            <w:shd w:val="clear" w:color="auto" w:fill="B40153" w:themeFill="text2"/>
          </w:tcPr>
          <w:p w:rsidR="0039387F" w:rsidRPr="00FC73AF" w:rsidRDefault="0039387F" w:rsidP="001A5B23">
            <w:pPr>
              <w:pStyle w:val="Tabletext"/>
              <w:rPr>
                <w:color w:val="FFFFFF" w:themeColor="accent6"/>
              </w:rPr>
            </w:pPr>
          </w:p>
        </w:tc>
        <w:tc>
          <w:tcPr>
            <w:tcW w:w="9097" w:type="dxa"/>
            <w:gridSpan w:val="2"/>
            <w:shd w:val="clear" w:color="auto" w:fill="B40153" w:themeFill="text2"/>
          </w:tcPr>
          <w:p w:rsidR="0039387F" w:rsidRPr="00FC73AF" w:rsidRDefault="0039387F" w:rsidP="0039387F">
            <w:pPr>
              <w:pStyle w:val="Tabletext"/>
              <w:jc w:val="center"/>
              <w:rPr>
                <w:b/>
                <w:color w:val="FFFFFF" w:themeColor="accent6"/>
              </w:rPr>
            </w:pPr>
            <w:r w:rsidRPr="00FC73AF">
              <w:rPr>
                <w:b/>
                <w:color w:val="FFFFFF" w:themeColor="accent6"/>
              </w:rPr>
              <w:t>RACGP Standards for General Practices</w:t>
            </w:r>
            <w:r w:rsidR="001C6F28">
              <w:rPr>
                <w:b/>
                <w:color w:val="FFFFFF" w:themeColor="accent6"/>
              </w:rPr>
              <w:t xml:space="preserve"> overview</w:t>
            </w:r>
          </w:p>
        </w:tc>
      </w:tr>
      <w:tr w:rsidR="0039387F" w:rsidRPr="001A5B23" w:rsidTr="00FC73AF">
        <w:tc>
          <w:tcPr>
            <w:tcW w:w="532" w:type="dxa"/>
            <w:vMerge/>
            <w:shd w:val="clear" w:color="auto" w:fill="B40153" w:themeFill="text2"/>
          </w:tcPr>
          <w:p w:rsidR="0039387F" w:rsidRPr="00FC73AF" w:rsidRDefault="0039387F" w:rsidP="001A5B23">
            <w:pPr>
              <w:pStyle w:val="Tabletext"/>
              <w:rPr>
                <w:color w:val="FFFFFF" w:themeColor="accent6"/>
              </w:rPr>
            </w:pPr>
          </w:p>
        </w:tc>
        <w:tc>
          <w:tcPr>
            <w:tcW w:w="4566" w:type="dxa"/>
            <w:shd w:val="clear" w:color="auto" w:fill="B40153" w:themeFill="text2"/>
          </w:tcPr>
          <w:p w:rsidR="0039387F" w:rsidRPr="003016C3" w:rsidRDefault="0039387F" w:rsidP="003016C3">
            <w:pPr>
              <w:pStyle w:val="Tableheadings"/>
              <w:jc w:val="center"/>
            </w:pPr>
            <w:r w:rsidRPr="003016C3">
              <w:t>Fourth edition</w:t>
            </w:r>
          </w:p>
          <w:p w:rsidR="00322F94" w:rsidRPr="003016C3" w:rsidRDefault="00322F94" w:rsidP="003016C3">
            <w:pPr>
              <w:pStyle w:val="Tableheadings"/>
              <w:jc w:val="center"/>
            </w:pPr>
            <w:r w:rsidRPr="003016C3">
              <w:t xml:space="preserve">Released in </w:t>
            </w:r>
            <w:r w:rsidR="003016C3" w:rsidRPr="003016C3">
              <w:t>October 2010</w:t>
            </w:r>
          </w:p>
        </w:tc>
        <w:tc>
          <w:tcPr>
            <w:tcW w:w="4531" w:type="dxa"/>
            <w:shd w:val="clear" w:color="auto" w:fill="B40153" w:themeFill="text2"/>
          </w:tcPr>
          <w:p w:rsidR="0039387F" w:rsidRPr="003016C3" w:rsidRDefault="0039387F" w:rsidP="003016C3">
            <w:pPr>
              <w:pStyle w:val="Tableheadings"/>
              <w:jc w:val="center"/>
            </w:pPr>
            <w:r w:rsidRPr="003016C3">
              <w:t>Fifth edition</w:t>
            </w:r>
          </w:p>
          <w:p w:rsidR="00322F94" w:rsidRPr="003016C3" w:rsidRDefault="00322F94" w:rsidP="003016C3">
            <w:pPr>
              <w:pStyle w:val="Tableheadings"/>
              <w:jc w:val="center"/>
            </w:pPr>
            <w:r w:rsidRPr="003016C3">
              <w:t xml:space="preserve">Released in </w:t>
            </w:r>
            <w:r w:rsidR="00A5336A">
              <w:t>October</w:t>
            </w:r>
            <w:r w:rsidRPr="003016C3">
              <w:t xml:space="preserve"> 2017</w:t>
            </w:r>
          </w:p>
        </w:tc>
      </w:tr>
      <w:tr w:rsidR="001A5B23" w:rsidRPr="001A5B23" w:rsidTr="00FC73AF">
        <w:trPr>
          <w:cantSplit/>
          <w:trHeight w:val="1134"/>
        </w:trPr>
        <w:tc>
          <w:tcPr>
            <w:tcW w:w="532" w:type="dxa"/>
            <w:shd w:val="clear" w:color="auto" w:fill="B40153" w:themeFill="text2"/>
            <w:textDirection w:val="btLr"/>
          </w:tcPr>
          <w:p w:rsidR="001A5B23" w:rsidRPr="00FC73AF" w:rsidRDefault="0039387F" w:rsidP="0039387F">
            <w:pPr>
              <w:pStyle w:val="Tabletext"/>
              <w:ind w:left="113" w:right="113"/>
              <w:rPr>
                <w:b/>
                <w:color w:val="FFFFFF" w:themeColor="accent6"/>
              </w:rPr>
            </w:pPr>
            <w:r w:rsidRPr="00FC73AF">
              <w:rPr>
                <w:b/>
                <w:color w:val="FFFFFF" w:themeColor="accent6"/>
              </w:rPr>
              <w:t>Standard</w:t>
            </w:r>
          </w:p>
        </w:tc>
        <w:tc>
          <w:tcPr>
            <w:tcW w:w="4566" w:type="dxa"/>
          </w:tcPr>
          <w:p w:rsidR="001A5B23" w:rsidRPr="0039387F" w:rsidRDefault="0047434D" w:rsidP="001A5B23">
            <w:pPr>
              <w:pStyle w:val="Tabletext"/>
              <w:rPr>
                <w:b/>
              </w:rPr>
            </w:pPr>
            <w:r w:rsidRPr="0039387F">
              <w:rPr>
                <w:b/>
              </w:rPr>
              <w:t>Standard 5.3</w:t>
            </w:r>
          </w:p>
          <w:p w:rsidR="0047434D" w:rsidRPr="001A5B23" w:rsidRDefault="0047434D" w:rsidP="001A5B23">
            <w:pPr>
              <w:pStyle w:val="Tabletext"/>
            </w:pPr>
            <w:r>
              <w:t>Our practice maintains the potency of vaccines.</w:t>
            </w:r>
          </w:p>
        </w:tc>
        <w:tc>
          <w:tcPr>
            <w:tcW w:w="4531" w:type="dxa"/>
          </w:tcPr>
          <w:p w:rsidR="001A5B23" w:rsidRPr="0039387F" w:rsidRDefault="001A5B23" w:rsidP="001A5B23">
            <w:pPr>
              <w:pStyle w:val="Tabletext"/>
              <w:rPr>
                <w:b/>
              </w:rPr>
            </w:pPr>
            <w:r w:rsidRPr="0039387F">
              <w:rPr>
                <w:b/>
              </w:rPr>
              <w:t>GP Standard 6</w:t>
            </w:r>
          </w:p>
          <w:p w:rsidR="001A5B23" w:rsidRPr="001A5B23" w:rsidRDefault="001A5B23" w:rsidP="0047434D">
            <w:pPr>
              <w:pStyle w:val="Tabletext"/>
            </w:pPr>
            <w:r>
              <w:t>Our practice maintains the potency of vaccines</w:t>
            </w:r>
            <w:r w:rsidR="0047434D">
              <w:t>.</w:t>
            </w:r>
          </w:p>
        </w:tc>
      </w:tr>
      <w:tr w:rsidR="00446770" w:rsidRPr="001A5B23" w:rsidTr="00FC73AF">
        <w:trPr>
          <w:cantSplit/>
          <w:trHeight w:val="1134"/>
        </w:trPr>
        <w:tc>
          <w:tcPr>
            <w:tcW w:w="532" w:type="dxa"/>
            <w:shd w:val="clear" w:color="auto" w:fill="B40153" w:themeFill="text2"/>
            <w:textDirection w:val="btLr"/>
          </w:tcPr>
          <w:p w:rsidR="00446770" w:rsidRPr="00FC73AF" w:rsidRDefault="00446770" w:rsidP="0039387F">
            <w:pPr>
              <w:pStyle w:val="Tabletext"/>
              <w:ind w:left="113" w:right="113"/>
              <w:rPr>
                <w:b/>
                <w:color w:val="FFFFFF" w:themeColor="accent6"/>
              </w:rPr>
            </w:pPr>
            <w:r>
              <w:rPr>
                <w:b/>
                <w:color w:val="FFFFFF" w:themeColor="accent6"/>
              </w:rPr>
              <w:t>Criterion</w:t>
            </w:r>
          </w:p>
        </w:tc>
        <w:tc>
          <w:tcPr>
            <w:tcW w:w="4566" w:type="dxa"/>
          </w:tcPr>
          <w:p w:rsidR="00446770" w:rsidRDefault="00446770" w:rsidP="00446770">
            <w:pPr>
              <w:pStyle w:val="Tabletext"/>
            </w:pPr>
            <w:r>
              <w:t xml:space="preserve">Criterion 5.3.2 Vaccine potency. </w:t>
            </w:r>
          </w:p>
          <w:p w:rsidR="00446770" w:rsidRPr="0039387F" w:rsidRDefault="00446770" w:rsidP="001A5B23">
            <w:pPr>
              <w:pStyle w:val="Tabletext"/>
              <w:rPr>
                <w:b/>
              </w:rPr>
            </w:pPr>
          </w:p>
        </w:tc>
        <w:tc>
          <w:tcPr>
            <w:tcW w:w="4531" w:type="dxa"/>
          </w:tcPr>
          <w:p w:rsidR="00446770" w:rsidRDefault="00446770" w:rsidP="00446770">
            <w:pPr>
              <w:pStyle w:val="Tabletext"/>
            </w:pPr>
            <w:r>
              <w:t>Criterion GP6.1 Maintaining vaccine potency.</w:t>
            </w:r>
          </w:p>
          <w:p w:rsidR="00446770" w:rsidRPr="0039387F" w:rsidRDefault="00446770" w:rsidP="001A5B23">
            <w:pPr>
              <w:pStyle w:val="Tabletext"/>
              <w:rPr>
                <w:b/>
              </w:rPr>
            </w:pPr>
          </w:p>
        </w:tc>
      </w:tr>
      <w:tr w:rsidR="0047434D" w:rsidRPr="001A5B23" w:rsidTr="00FC73AF">
        <w:tc>
          <w:tcPr>
            <w:tcW w:w="532" w:type="dxa"/>
            <w:vMerge w:val="restart"/>
            <w:shd w:val="clear" w:color="auto" w:fill="B40153" w:themeFill="text2"/>
            <w:textDirection w:val="btLr"/>
            <w:vAlign w:val="center"/>
          </w:tcPr>
          <w:p w:rsidR="0047434D" w:rsidRPr="00FC73AF" w:rsidRDefault="0047434D" w:rsidP="0047434D">
            <w:pPr>
              <w:pStyle w:val="Tabletext"/>
              <w:ind w:left="113" w:right="113"/>
              <w:jc w:val="center"/>
              <w:rPr>
                <w:b/>
                <w:color w:val="FFFFFF" w:themeColor="accent6"/>
              </w:rPr>
            </w:pPr>
            <w:r w:rsidRPr="00FC73AF">
              <w:rPr>
                <w:b/>
                <w:color w:val="FFFFFF" w:themeColor="accent6"/>
              </w:rPr>
              <w:t>Indicators</w:t>
            </w:r>
          </w:p>
        </w:tc>
        <w:tc>
          <w:tcPr>
            <w:tcW w:w="4566" w:type="dxa"/>
          </w:tcPr>
          <w:p w:rsidR="0047434D" w:rsidRPr="001A5B23" w:rsidRDefault="0047434D" w:rsidP="001A5B23">
            <w:pPr>
              <w:pStyle w:val="Tabletext"/>
            </w:pPr>
            <w:r w:rsidRPr="0047434D">
              <w:rPr>
                <w:b/>
              </w:rPr>
              <w:t>A.</w:t>
            </w:r>
            <w:r>
              <w:t xml:space="preserve"> Our practice team can identify the person with primary responsibility for cold chain management within the practice.</w:t>
            </w:r>
          </w:p>
        </w:tc>
        <w:tc>
          <w:tcPr>
            <w:tcW w:w="4531" w:type="dxa"/>
          </w:tcPr>
          <w:p w:rsidR="0047434D" w:rsidRPr="001A5B23" w:rsidRDefault="0047434D" w:rsidP="001A5B23">
            <w:pPr>
              <w:pStyle w:val="Tabletext"/>
            </w:pPr>
            <w:r w:rsidRPr="0047434D">
              <w:rPr>
                <w:b/>
              </w:rPr>
              <w:t>GP6.1 A</w:t>
            </w:r>
            <w:r>
              <w:t xml:space="preserve"> Our practice has at least one team member who has primary responsibility for cold chain management in the practice.</w:t>
            </w:r>
          </w:p>
        </w:tc>
      </w:tr>
      <w:tr w:rsidR="0047434D" w:rsidRPr="001A5B23" w:rsidTr="00FC73AF">
        <w:tc>
          <w:tcPr>
            <w:tcW w:w="532" w:type="dxa"/>
            <w:vMerge/>
            <w:shd w:val="clear" w:color="auto" w:fill="B40153" w:themeFill="text2"/>
          </w:tcPr>
          <w:p w:rsidR="0047434D" w:rsidRPr="001A5B23" w:rsidRDefault="0047434D" w:rsidP="001A5B23">
            <w:pPr>
              <w:pStyle w:val="Tabletext"/>
            </w:pPr>
          </w:p>
        </w:tc>
        <w:tc>
          <w:tcPr>
            <w:tcW w:w="4566" w:type="dxa"/>
          </w:tcPr>
          <w:p w:rsidR="0047434D" w:rsidRPr="001A5B23" w:rsidRDefault="0047434D" w:rsidP="001A5B23">
            <w:pPr>
              <w:pStyle w:val="Tabletext"/>
            </w:pPr>
            <w:r w:rsidRPr="0047434D">
              <w:rPr>
                <w:b/>
              </w:rPr>
              <w:t>B.</w:t>
            </w:r>
            <w:r>
              <w:t xml:space="preserve"> The person with primary responsibility for cold chain management has this responsibility defined in their position description and can describe how the process used for cold chain management complies with the current edition of the </w:t>
            </w:r>
            <w:r w:rsidRPr="0047434D">
              <w:rPr>
                <w:i/>
              </w:rPr>
              <w:t>National Vaccine Storage Guidelines</w:t>
            </w:r>
            <w:r>
              <w:t>.</w:t>
            </w:r>
          </w:p>
        </w:tc>
        <w:tc>
          <w:tcPr>
            <w:tcW w:w="4531" w:type="dxa"/>
          </w:tcPr>
          <w:p w:rsidR="0047434D" w:rsidRPr="001A5B23" w:rsidRDefault="0047434D" w:rsidP="001A5B23">
            <w:pPr>
              <w:pStyle w:val="Tabletext"/>
            </w:pPr>
            <w:r w:rsidRPr="0047434D">
              <w:rPr>
                <w:b/>
              </w:rPr>
              <w:t>GP6.1 B</w:t>
            </w:r>
            <w:r>
              <w:t xml:space="preserve"> The team member who has primary responsibility for cold chain management ensures that the process used complies with the current edition of the </w:t>
            </w:r>
            <w:r w:rsidRPr="0047434D">
              <w:rPr>
                <w:i/>
              </w:rPr>
              <w:t>National vaccine storage guidelines: Strive for 5</w:t>
            </w:r>
            <w:r>
              <w:t>.</w:t>
            </w:r>
          </w:p>
        </w:tc>
      </w:tr>
      <w:tr w:rsidR="0047434D" w:rsidRPr="001A5B23" w:rsidTr="00FC73AF">
        <w:tc>
          <w:tcPr>
            <w:tcW w:w="532" w:type="dxa"/>
            <w:vMerge/>
            <w:shd w:val="clear" w:color="auto" w:fill="B40153" w:themeFill="text2"/>
          </w:tcPr>
          <w:p w:rsidR="0047434D" w:rsidRPr="001A5B23" w:rsidRDefault="0047434D" w:rsidP="001A5B23">
            <w:pPr>
              <w:pStyle w:val="Tabletext"/>
            </w:pPr>
          </w:p>
        </w:tc>
        <w:tc>
          <w:tcPr>
            <w:tcW w:w="4566" w:type="dxa"/>
          </w:tcPr>
          <w:p w:rsidR="0047434D" w:rsidRDefault="0047434D" w:rsidP="001A5B23">
            <w:pPr>
              <w:pStyle w:val="Tabletext"/>
            </w:pPr>
            <w:r w:rsidRPr="0047434D">
              <w:rPr>
                <w:b/>
              </w:rPr>
              <w:t>C.</w:t>
            </w:r>
            <w:r>
              <w:t xml:space="preserve"> Our practice can demonstrate how we review the following processes to ensure potency of our vaccine stock: </w:t>
            </w:r>
          </w:p>
          <w:p w:rsidR="0047434D" w:rsidRDefault="002A4CDD" w:rsidP="0047434D">
            <w:pPr>
              <w:pStyle w:val="Tablebullet1"/>
            </w:pPr>
            <w:r>
              <w:t>O</w:t>
            </w:r>
            <w:r w:rsidR="0047434D">
              <w:t xml:space="preserve">rdering and stock rotation protocols </w:t>
            </w:r>
          </w:p>
          <w:p w:rsidR="0047434D" w:rsidRDefault="002A4CDD" w:rsidP="0047434D">
            <w:pPr>
              <w:pStyle w:val="Tablebullet1"/>
            </w:pPr>
            <w:r>
              <w:t>M</w:t>
            </w:r>
            <w:r w:rsidR="0047434D">
              <w:t xml:space="preserve">aintenance of equipment </w:t>
            </w:r>
          </w:p>
          <w:p w:rsidR="0047434D" w:rsidRDefault="002A4CDD" w:rsidP="0047434D">
            <w:pPr>
              <w:pStyle w:val="Tablebullet1"/>
            </w:pPr>
            <w:r>
              <w:t>A</w:t>
            </w:r>
            <w:r w:rsidR="0047434D">
              <w:t xml:space="preserve">nnual audit of our vaccine storage procedures </w:t>
            </w:r>
          </w:p>
          <w:p w:rsidR="0047434D" w:rsidRDefault="002A4CDD" w:rsidP="0047434D">
            <w:pPr>
              <w:pStyle w:val="Tablebullet1"/>
            </w:pPr>
            <w:r>
              <w:t>C</w:t>
            </w:r>
            <w:r w:rsidR="0047434D">
              <w:t>ontinuum of cold chain management, including the handover process between designated members of the practice team</w:t>
            </w:r>
          </w:p>
          <w:p w:rsidR="0047434D" w:rsidRPr="001A5B23" w:rsidRDefault="002A4CDD" w:rsidP="0047434D">
            <w:pPr>
              <w:pStyle w:val="Tablebullet1"/>
            </w:pPr>
            <w:r>
              <w:t>A</w:t>
            </w:r>
            <w:r w:rsidR="0047434D">
              <w:t>ccuracy of our digital vaccine refrigerator thermometer.</w:t>
            </w:r>
          </w:p>
        </w:tc>
        <w:tc>
          <w:tcPr>
            <w:tcW w:w="4531" w:type="dxa"/>
          </w:tcPr>
          <w:p w:rsidR="0047434D" w:rsidRDefault="0047434D" w:rsidP="001A5B23">
            <w:pPr>
              <w:pStyle w:val="Tabletext"/>
            </w:pPr>
            <w:r w:rsidRPr="0047434D">
              <w:rPr>
                <w:b/>
              </w:rPr>
              <w:t>GP6.1 C</w:t>
            </w:r>
            <w:r>
              <w:t xml:space="preserve"> The team member who has primary responsibility for cold chain management reviews the following processes to ensure potency of our vaccine stock: </w:t>
            </w:r>
          </w:p>
          <w:p w:rsidR="0047434D" w:rsidRDefault="0047434D" w:rsidP="0047434D">
            <w:pPr>
              <w:pStyle w:val="Tablebullet1"/>
            </w:pPr>
            <w:r>
              <w:t>Ordering and stock rotation protocols</w:t>
            </w:r>
          </w:p>
          <w:p w:rsidR="0047434D" w:rsidRDefault="0047434D" w:rsidP="0047434D">
            <w:pPr>
              <w:pStyle w:val="Tablebullet1"/>
            </w:pPr>
            <w:r>
              <w:t xml:space="preserve">Maintenance of equipment </w:t>
            </w:r>
          </w:p>
          <w:p w:rsidR="0047434D" w:rsidRDefault="0047434D" w:rsidP="0047434D">
            <w:pPr>
              <w:pStyle w:val="Tablebullet1"/>
            </w:pPr>
            <w:r>
              <w:t xml:space="preserve">Annual audit of our vaccine storage procedures </w:t>
            </w:r>
          </w:p>
          <w:p w:rsidR="0047434D" w:rsidRDefault="0047434D" w:rsidP="0047434D">
            <w:pPr>
              <w:pStyle w:val="Tablebullet1"/>
            </w:pPr>
            <w:r>
              <w:t xml:space="preserve">Continuity of the cold chain, including the handover process between designated members of the practice team </w:t>
            </w:r>
          </w:p>
          <w:p w:rsidR="0047434D" w:rsidRDefault="0047434D" w:rsidP="0047434D">
            <w:pPr>
              <w:pStyle w:val="Tablebullet1"/>
            </w:pPr>
            <w:r>
              <w:t>Accuracy of our digital vaccine refrigerator thermometer</w:t>
            </w:r>
          </w:p>
        </w:tc>
      </w:tr>
      <w:tr w:rsidR="0047434D" w:rsidRPr="001A5B23" w:rsidTr="00FC73AF">
        <w:tc>
          <w:tcPr>
            <w:tcW w:w="532" w:type="dxa"/>
            <w:vMerge/>
            <w:shd w:val="clear" w:color="auto" w:fill="B40153" w:themeFill="text2"/>
          </w:tcPr>
          <w:p w:rsidR="0047434D" w:rsidRPr="001A5B23" w:rsidRDefault="0047434D" w:rsidP="001A5B23">
            <w:pPr>
              <w:pStyle w:val="Tabletext"/>
            </w:pPr>
          </w:p>
        </w:tc>
        <w:tc>
          <w:tcPr>
            <w:tcW w:w="4566" w:type="dxa"/>
          </w:tcPr>
          <w:p w:rsidR="0047434D" w:rsidRPr="001A5B23" w:rsidRDefault="0047434D" w:rsidP="001A5B23">
            <w:pPr>
              <w:pStyle w:val="Tabletext"/>
            </w:pPr>
          </w:p>
        </w:tc>
        <w:tc>
          <w:tcPr>
            <w:tcW w:w="4531" w:type="dxa"/>
          </w:tcPr>
          <w:p w:rsidR="0047434D" w:rsidRDefault="0047434D" w:rsidP="001A5B23">
            <w:pPr>
              <w:pStyle w:val="Tabletext"/>
            </w:pPr>
            <w:r w:rsidRPr="0047434D">
              <w:rPr>
                <w:b/>
              </w:rPr>
              <w:t>GP6.1 D</w:t>
            </w:r>
            <w:r>
              <w:t xml:space="preserve"> Our practice has a written, practice-specific policy that outlines our cold chain processes.</w:t>
            </w:r>
          </w:p>
        </w:tc>
      </w:tr>
    </w:tbl>
    <w:p w:rsidR="009836E0" w:rsidRPr="00036E83" w:rsidRDefault="009836E0" w:rsidP="009836E0">
      <w:pPr>
        <w:pStyle w:val="Sub-heading"/>
        <w:numPr>
          <w:ilvl w:val="12"/>
          <w:numId w:val="5"/>
        </w:numPr>
        <w:rPr>
          <w:color w:val="auto"/>
        </w:rPr>
      </w:pPr>
      <w:r w:rsidRPr="00036E83">
        <w:rPr>
          <w:color w:val="auto"/>
        </w:rPr>
        <w:lastRenderedPageBreak/>
        <w:t>Introduction</w:t>
      </w:r>
    </w:p>
    <w:p w:rsidR="009836E0" w:rsidRPr="00A272D3" w:rsidRDefault="009836E0" w:rsidP="009836E0">
      <w:pPr>
        <w:pStyle w:val="Text"/>
      </w:pPr>
      <w:r w:rsidRPr="00A272D3">
        <w:t>The following is an example of a cold chain management procedure, vaccine coordinator and cold chain job description, and self-audit for general practice. The document is typed in Word format for easy modification to adapt to each practice’s specific requirements.</w:t>
      </w:r>
    </w:p>
    <w:p w:rsidR="009836E0" w:rsidRPr="00036E83" w:rsidRDefault="009836E0" w:rsidP="009836E0">
      <w:pPr>
        <w:pStyle w:val="Sub-heading"/>
        <w:rPr>
          <w:color w:val="auto"/>
        </w:rPr>
      </w:pPr>
      <w:r w:rsidRPr="00036E83">
        <w:rPr>
          <w:color w:val="auto"/>
        </w:rPr>
        <w:t>Essential reading</w:t>
      </w:r>
    </w:p>
    <w:p w:rsidR="009836E0" w:rsidRPr="0063672D" w:rsidRDefault="009836E0" w:rsidP="009836E0">
      <w:pPr>
        <w:pStyle w:val="Style2"/>
      </w:pPr>
      <w:r w:rsidRPr="0063672D">
        <w:t>National Vaccine Storage Guideline – Strive for 5</w:t>
      </w:r>
    </w:p>
    <w:p w:rsidR="009836E0" w:rsidRPr="00A272D3" w:rsidRDefault="009836E0" w:rsidP="009836E0">
      <w:pPr>
        <w:pStyle w:val="Text"/>
      </w:pPr>
      <w:r w:rsidRPr="00A272D3">
        <w:t>Provides health professionals on the most effective clinical guidelines on vaccine storage and includes free posters, stickers and temperature log for downloading, visit the Department of Health Immunise Australia Program website:</w:t>
      </w:r>
    </w:p>
    <w:p w:rsidR="009836E0" w:rsidRDefault="006B4012" w:rsidP="009836E0">
      <w:pPr>
        <w:pStyle w:val="Text"/>
        <w:spacing w:after="240"/>
        <w:rPr>
          <w:b/>
          <w:szCs w:val="20"/>
        </w:rPr>
      </w:pPr>
      <w:hyperlink r:id="rId8" w:history="1">
        <w:r w:rsidR="009836E0" w:rsidRPr="00BE31F2">
          <w:rPr>
            <w:rStyle w:val="Hyperlink"/>
            <w:rFonts w:eastAsia="Calibri"/>
          </w:rPr>
          <w:t>http://www.immunise.health.gov.au/internet/immunise/publishing.nsf/content/IMM77-cnt</w:t>
        </w:r>
      </w:hyperlink>
    </w:p>
    <w:p w:rsidR="009836E0" w:rsidRPr="0063672D" w:rsidRDefault="009836E0" w:rsidP="009836E0">
      <w:pPr>
        <w:pStyle w:val="Style2"/>
      </w:pPr>
      <w:r w:rsidRPr="0063672D">
        <w:t>Au</w:t>
      </w:r>
      <w:r w:rsidR="00342CC4">
        <w:t xml:space="preserve">stralian Immunisation Handbook, </w:t>
      </w:r>
      <w:r w:rsidRPr="0063672D">
        <w:t>10th Edition</w:t>
      </w:r>
    </w:p>
    <w:p w:rsidR="009836E0" w:rsidRPr="00A272D3" w:rsidRDefault="009836E0" w:rsidP="009836E0">
      <w:pPr>
        <w:pStyle w:val="Text"/>
      </w:pPr>
      <w:r w:rsidRPr="00A272D3">
        <w:t>Provides clinical guidelines for health professionals on the safest and most effective use of vaccines in their practice.</w:t>
      </w:r>
    </w:p>
    <w:p w:rsidR="009836E0" w:rsidRPr="00A272D3" w:rsidRDefault="009836E0" w:rsidP="009836E0">
      <w:pPr>
        <w:pStyle w:val="Text"/>
      </w:pPr>
      <w:r w:rsidRPr="00A272D3">
        <w:t>Available on the Immunise Australia website at:</w:t>
      </w:r>
    </w:p>
    <w:p w:rsidR="009836E0" w:rsidRPr="002028B8" w:rsidRDefault="006B4012" w:rsidP="009836E0">
      <w:pPr>
        <w:pStyle w:val="Text"/>
        <w:rPr>
          <w:b/>
          <w:szCs w:val="20"/>
        </w:rPr>
      </w:pPr>
      <w:hyperlink r:id="rId9" w:history="1">
        <w:r w:rsidR="009836E0" w:rsidRPr="002028B8">
          <w:rPr>
            <w:rStyle w:val="Hyperlink"/>
            <w:rFonts w:eastAsia="Calibri"/>
            <w:color w:val="auto"/>
          </w:rPr>
          <w:t>http://www.immunise.health.gov.au/internet/immunise/publishing.nsf/Content/Handbook10-home</w:t>
        </w:r>
      </w:hyperlink>
    </w:p>
    <w:p w:rsidR="009836E0" w:rsidRPr="00036E83" w:rsidRDefault="009836E0" w:rsidP="009836E0">
      <w:pPr>
        <w:pStyle w:val="Sub-heading"/>
        <w:rPr>
          <w:color w:val="auto"/>
        </w:rPr>
      </w:pPr>
      <w:r w:rsidRPr="00036E83">
        <w:rPr>
          <w:color w:val="auto"/>
        </w:rPr>
        <w:t>Instructions</w:t>
      </w:r>
    </w:p>
    <w:p w:rsidR="009836E0" w:rsidRPr="00EB1F94" w:rsidRDefault="009836E0" w:rsidP="009836E0">
      <w:pPr>
        <w:pStyle w:val="Style2"/>
      </w:pPr>
      <w:r w:rsidRPr="00EB1F94">
        <w:t>Practice details</w:t>
      </w:r>
    </w:p>
    <w:p w:rsidR="009836E0" w:rsidRDefault="009836E0" w:rsidP="009836E0">
      <w:pPr>
        <w:pStyle w:val="Text"/>
      </w:pPr>
      <w:r>
        <w:t>Throughout this template policy and procedure, there are sections where the practice will be required to insert particular personal information. These areas are identified as bold magenta italic underlined text.</w:t>
      </w:r>
    </w:p>
    <w:p w:rsidR="009836E0" w:rsidRDefault="009836E0" w:rsidP="009836E0">
      <w:pPr>
        <w:pStyle w:val="Text"/>
      </w:pPr>
      <w:r>
        <w:t xml:space="preserve">For example: </w:t>
      </w:r>
      <w:r w:rsidRPr="00455FD3">
        <w:rPr>
          <w:b/>
          <w:i/>
          <w:color w:val="B40153" w:themeColor="text2"/>
          <w:u w:val="single"/>
        </w:rPr>
        <w:t>&lt;location of pharmaceuticals and medical consumables&gt;</w:t>
      </w:r>
    </w:p>
    <w:p w:rsidR="009836E0" w:rsidRPr="00EB1F94" w:rsidRDefault="009836E0" w:rsidP="009836E0">
      <w:pPr>
        <w:pStyle w:val="Style2"/>
      </w:pPr>
      <w:r w:rsidRPr="00EB1F94">
        <w:t>Location of a related policy and procedure</w:t>
      </w:r>
    </w:p>
    <w:p w:rsidR="009836E0" w:rsidRDefault="009836E0" w:rsidP="009836E0">
      <w:pPr>
        <w:pStyle w:val="Text"/>
      </w:pPr>
      <w:r>
        <w:t>In some cases, a policy and procedure may have very similar characteristics to another, or there may be additional related information available. In these cases, related policies and procedures will be referred to in blue-grey bold italics.</w:t>
      </w:r>
    </w:p>
    <w:p w:rsidR="009836E0" w:rsidRDefault="009836E0" w:rsidP="009836E0">
      <w:pPr>
        <w:pStyle w:val="Text"/>
      </w:pPr>
      <w:r>
        <w:t xml:space="preserve">For example: </w:t>
      </w:r>
      <w:r w:rsidRPr="009355A5">
        <w:rPr>
          <w:b/>
          <w:i/>
          <w:color w:val="67A4BC"/>
        </w:rPr>
        <w:t>Practice services, Chapter 1.2 - Triage</w:t>
      </w:r>
    </w:p>
    <w:p w:rsidR="009836E0" w:rsidRPr="00EB1F94" w:rsidRDefault="009836E0" w:rsidP="009836E0">
      <w:pPr>
        <w:pStyle w:val="Style2"/>
      </w:pPr>
      <w:r w:rsidRPr="00EB1F94">
        <w:t>Templates, forms and checklists</w:t>
      </w:r>
    </w:p>
    <w:p w:rsidR="009836E0" w:rsidRDefault="009836E0" w:rsidP="009836E0">
      <w:pPr>
        <w:pStyle w:val="Text"/>
      </w:pPr>
      <w:r>
        <w:t>Various templates and checklists are referred to throughout the policies and procedures. Where we have created or recommend a version for your use, these are made elsewhere in the Practice Assist Tool Kit and Library.</w:t>
      </w:r>
    </w:p>
    <w:p w:rsidR="009836E0" w:rsidRDefault="009836E0" w:rsidP="009836E0">
      <w:pPr>
        <w:pStyle w:val="Text"/>
      </w:pPr>
      <w:r>
        <w:t>Where a policy or procedure has a related template form, checklist or letter, this will be referred to in capital letters, apple-green, underlined, italic letters.</w:t>
      </w:r>
    </w:p>
    <w:p w:rsidR="009836E0" w:rsidRDefault="009836E0" w:rsidP="009836E0">
      <w:pPr>
        <w:pStyle w:val="Text"/>
      </w:pPr>
      <w:r>
        <w:t xml:space="preserve">For example: </w:t>
      </w:r>
      <w:r w:rsidRPr="009355A5">
        <w:rPr>
          <w:i/>
          <w:color w:val="A0C52D"/>
          <w:u w:val="single"/>
        </w:rPr>
        <w:t>MEDICAL SUPPLIES REVIEW LOGBOOK</w:t>
      </w:r>
    </w:p>
    <w:p w:rsidR="009836E0" w:rsidRDefault="009836E0" w:rsidP="009836E0">
      <w:pPr>
        <w:rPr>
          <w:rFonts w:ascii="Arial" w:eastAsiaTheme="minorHAnsi" w:hAnsi="Arial" w:cs="Arial"/>
          <w:sz w:val="20"/>
          <w:lang w:eastAsia="en-US"/>
        </w:rPr>
      </w:pPr>
      <w:r>
        <w:br w:type="page"/>
      </w:r>
    </w:p>
    <w:p w:rsidR="00C0638C" w:rsidRPr="00036E83" w:rsidRDefault="00C0638C" w:rsidP="00970D99">
      <w:pPr>
        <w:pStyle w:val="Sub-heading"/>
        <w:rPr>
          <w:color w:val="auto"/>
        </w:rPr>
      </w:pPr>
      <w:r w:rsidRPr="00036E83">
        <w:rPr>
          <w:color w:val="auto"/>
        </w:rPr>
        <w:lastRenderedPageBreak/>
        <w:t xml:space="preserve">Vaccine potency </w:t>
      </w:r>
    </w:p>
    <w:p w:rsidR="00C0638C" w:rsidRPr="00EB1F94" w:rsidRDefault="00C0638C" w:rsidP="009836E0">
      <w:pPr>
        <w:pStyle w:val="Textbold"/>
        <w:tabs>
          <w:tab w:val="right" w:leader="underscore" w:pos="9639"/>
        </w:tabs>
      </w:pPr>
      <w:r w:rsidRPr="00036E83">
        <w:rPr>
          <w:color w:val="auto"/>
        </w:rPr>
        <w:t>Policy</w:t>
      </w:r>
      <w:r w:rsidR="00EB1F94" w:rsidRPr="00036E83">
        <w:rPr>
          <w:color w:val="auto"/>
        </w:rPr>
        <w:tab/>
      </w:r>
    </w:p>
    <w:p w:rsidR="00B4612F" w:rsidRDefault="00B4612F" w:rsidP="00B4612F">
      <w:pPr>
        <w:pStyle w:val="Text"/>
      </w:pPr>
      <w:r>
        <w:t>Vaccines are delicate biological substances, they can become less effective or destroyed if they are not kept within an optimal temperature range or are exposed to direct ultraviolet (UV) light. Practices must therefore maintain the potency of vaccines in order to ensure they are effective in improving immunity against disease (RACGP Standards for General Practices, 5</w:t>
      </w:r>
      <w:r w:rsidRPr="004C2737">
        <w:rPr>
          <w:vertAlign w:val="superscript"/>
        </w:rPr>
        <w:t>th</w:t>
      </w:r>
      <w:r>
        <w:t xml:space="preserve"> edition, p. 161).</w:t>
      </w:r>
    </w:p>
    <w:p w:rsidR="00C0638C" w:rsidRDefault="00C0638C" w:rsidP="00A72699">
      <w:pPr>
        <w:pStyle w:val="Text"/>
      </w:pPr>
      <w:r w:rsidRPr="00A272D3">
        <w:t>Our practice</w:t>
      </w:r>
      <w:r w:rsidR="00A72699">
        <w:t xml:space="preserve"> ensures the continuing </w:t>
      </w:r>
      <w:r w:rsidRPr="00A272D3">
        <w:t>potency of vaccines</w:t>
      </w:r>
      <w:r w:rsidR="00A72699">
        <w:t xml:space="preserve"> </w:t>
      </w:r>
      <w:r w:rsidR="00EB1F94">
        <w:t xml:space="preserve">by adhering to best practice guidelines found in the </w:t>
      </w:r>
      <w:r w:rsidR="00EB1F94" w:rsidRPr="0047434D">
        <w:rPr>
          <w:i/>
        </w:rPr>
        <w:t>National vaccine storage guidelines: Strive for 5</w:t>
      </w:r>
      <w:r w:rsidR="00EB1F94">
        <w:t xml:space="preserve"> and </w:t>
      </w:r>
      <w:r w:rsidR="00A72699">
        <w:t>through the application of the following procedures</w:t>
      </w:r>
      <w:r w:rsidRPr="00A272D3">
        <w:t>.</w:t>
      </w:r>
    </w:p>
    <w:p w:rsidR="00EB1F94" w:rsidRPr="00036E83" w:rsidRDefault="00EB1F94" w:rsidP="00EB1F94">
      <w:pPr>
        <w:pStyle w:val="Style2"/>
        <w:tabs>
          <w:tab w:val="right" w:leader="underscore" w:pos="9639"/>
        </w:tabs>
        <w:rPr>
          <w:color w:val="auto"/>
        </w:rPr>
      </w:pPr>
      <w:bookmarkStart w:id="6" w:name="_Toc389058910"/>
      <w:bookmarkStart w:id="7" w:name="_Toc409776069"/>
      <w:r w:rsidRPr="00036E83">
        <w:rPr>
          <w:color w:val="auto"/>
        </w:rPr>
        <w:t>Procedures</w:t>
      </w:r>
      <w:r w:rsidRPr="00036E83">
        <w:rPr>
          <w:color w:val="auto"/>
        </w:rPr>
        <w:tab/>
      </w:r>
    </w:p>
    <w:p w:rsidR="004C2737" w:rsidRPr="00EB1F94" w:rsidRDefault="004C2737" w:rsidP="00EB1F94">
      <w:pPr>
        <w:pStyle w:val="Style2"/>
      </w:pPr>
      <w:r w:rsidRPr="00EB1F94">
        <w:t>Nominating a person with primary responsibility</w:t>
      </w:r>
      <w:r w:rsidR="00764C37" w:rsidRPr="00EB1F94">
        <w:t xml:space="preserve"> for cold chain and vaccine storage</w:t>
      </w:r>
    </w:p>
    <w:p w:rsidR="004C2737" w:rsidRDefault="004C2737" w:rsidP="004C2737">
      <w:pPr>
        <w:pStyle w:val="Bullet1"/>
      </w:pPr>
      <w:r>
        <w:t xml:space="preserve">Our practice has nominated a member of the clinical team to take responsibility for the cold chain management and compliance with cold chain management guidelines for our practice. </w:t>
      </w:r>
    </w:p>
    <w:p w:rsidR="004C2737" w:rsidRPr="00191DDA" w:rsidRDefault="004C2737" w:rsidP="004C2737">
      <w:pPr>
        <w:pStyle w:val="Bullet1"/>
        <w:rPr>
          <w:rStyle w:val="PracticedetailsChar"/>
          <w:b w:val="0"/>
          <w:i w:val="0"/>
          <w:color w:val="auto"/>
          <w:u w:val="none"/>
        </w:rPr>
      </w:pPr>
      <w:r w:rsidRPr="00B0496C">
        <w:t>The nominated staff member</w:t>
      </w:r>
      <w:r>
        <w:t xml:space="preserve"> </w:t>
      </w:r>
      <w:r w:rsidRPr="00B0496C">
        <w:t xml:space="preserve">with primary responsibility </w:t>
      </w:r>
      <w:r>
        <w:t xml:space="preserve">for our vaccines, including the </w:t>
      </w:r>
      <w:r w:rsidRPr="00B0496C">
        <w:t xml:space="preserve">monitoring and maintenance of the vaccine </w:t>
      </w:r>
      <w:r>
        <w:t>refrigerator</w:t>
      </w:r>
      <w:r w:rsidRPr="00B0496C">
        <w:t xml:space="preserve"> and cold chain management</w:t>
      </w:r>
      <w:r>
        <w:t xml:space="preserve"> is </w:t>
      </w:r>
      <w:r w:rsidRPr="00191DDA">
        <w:rPr>
          <w:rStyle w:val="PracticedetailsChar"/>
        </w:rPr>
        <w:t>&lt;insert name&gt;</w:t>
      </w:r>
      <w:r>
        <w:rPr>
          <w:rStyle w:val="PracticedetailsChar"/>
          <w:u w:val="none"/>
        </w:rPr>
        <w:t>.</w:t>
      </w:r>
    </w:p>
    <w:p w:rsidR="004C2737" w:rsidRPr="00414244" w:rsidRDefault="004C2737" w:rsidP="004C2737">
      <w:pPr>
        <w:pStyle w:val="Bullet1"/>
      </w:pPr>
      <w:r>
        <w:t xml:space="preserve">When </w:t>
      </w:r>
      <w:r w:rsidRPr="00191DDA">
        <w:rPr>
          <w:rStyle w:val="PracticedetailsChar"/>
        </w:rPr>
        <w:t>&lt;insert name&gt;</w:t>
      </w:r>
      <w:r w:rsidRPr="00191DDA">
        <w:rPr>
          <w:rStyle w:val="PracticedetailsChar"/>
          <w:u w:val="none"/>
        </w:rPr>
        <w:t xml:space="preserve"> </w:t>
      </w:r>
      <w:r w:rsidRPr="00191DDA">
        <w:t>is away from the practice or no longer employed, the secondary nominated staff</w:t>
      </w:r>
      <w:r w:rsidRPr="00B0496C">
        <w:t xml:space="preserve"> member</w:t>
      </w:r>
      <w:r>
        <w:t xml:space="preserve"> </w:t>
      </w:r>
      <w:r w:rsidRPr="00191DDA">
        <w:rPr>
          <w:rStyle w:val="PracticedetailsChar"/>
        </w:rPr>
        <w:t>&lt;insert name&gt;</w:t>
      </w:r>
      <w:r w:rsidRPr="00191DDA">
        <w:t>, has</w:t>
      </w:r>
      <w:r w:rsidRPr="00B0496C">
        <w:t xml:space="preserve"> primary responsibility </w:t>
      </w:r>
      <w:r>
        <w:t>for our</w:t>
      </w:r>
      <w:r w:rsidRPr="00B0496C">
        <w:t xml:space="preserve"> vaccines</w:t>
      </w:r>
      <w:r>
        <w:t xml:space="preserve">, including </w:t>
      </w:r>
      <w:r w:rsidRPr="00B0496C">
        <w:t xml:space="preserve">the monitoring and maintenance of the vaccine </w:t>
      </w:r>
      <w:r>
        <w:t>refrigerator and cold chain management.</w:t>
      </w:r>
    </w:p>
    <w:p w:rsidR="004C2737" w:rsidRDefault="004C2737" w:rsidP="004C2737">
      <w:pPr>
        <w:pStyle w:val="Bullet1"/>
      </w:pPr>
      <w:r>
        <w:t xml:space="preserve">Both </w:t>
      </w:r>
      <w:r w:rsidRPr="00191DDA">
        <w:rPr>
          <w:rStyle w:val="PracticedetailsChar"/>
        </w:rPr>
        <w:t>&lt;insert name&gt;</w:t>
      </w:r>
      <w:r w:rsidRPr="00191DDA">
        <w:rPr>
          <w:rStyle w:val="TextChar"/>
        </w:rPr>
        <w:t xml:space="preserve"> and</w:t>
      </w:r>
      <w:r w:rsidRPr="004C2737">
        <w:rPr>
          <w:rStyle w:val="PracticedetailsChar"/>
          <w:u w:val="none"/>
        </w:rPr>
        <w:t xml:space="preserve"> </w:t>
      </w:r>
      <w:r w:rsidRPr="00191DDA">
        <w:rPr>
          <w:rStyle w:val="PracticedetailsChar"/>
        </w:rPr>
        <w:t>&lt;insert name&gt;</w:t>
      </w:r>
      <w:r w:rsidRPr="004C2737">
        <w:rPr>
          <w:rStyle w:val="PracticedetailsChar"/>
          <w:u w:val="none"/>
        </w:rPr>
        <w:t xml:space="preserve"> </w:t>
      </w:r>
      <w:r w:rsidRPr="00B0496C">
        <w:t xml:space="preserve">have </w:t>
      </w:r>
      <w:r>
        <w:t xml:space="preserve">received appropriate training in the current </w:t>
      </w:r>
      <w:r w:rsidRPr="004C2737">
        <w:rPr>
          <w:i/>
        </w:rPr>
        <w:t>National Vaccine Storage Guidelines: Strive for 5</w:t>
      </w:r>
      <w:r>
        <w:t xml:space="preserve"> as required for this role, and </w:t>
      </w:r>
      <w:r w:rsidRPr="00B0496C">
        <w:t xml:space="preserve">this role </w:t>
      </w:r>
      <w:r>
        <w:t xml:space="preserve">is </w:t>
      </w:r>
      <w:r w:rsidRPr="00B0496C">
        <w:t>defined in their position description</w:t>
      </w:r>
      <w:r>
        <w:t>s.</w:t>
      </w:r>
      <w:r w:rsidRPr="00B0496C">
        <w:t xml:space="preserve"> </w:t>
      </w:r>
    </w:p>
    <w:p w:rsidR="004C2737" w:rsidRDefault="004C2737" w:rsidP="004C2737">
      <w:pPr>
        <w:pStyle w:val="Bullet1"/>
      </w:pPr>
      <w:r>
        <w:t>The nominated person</w:t>
      </w:r>
      <w:r w:rsidR="00025E42">
        <w:t>/s</w:t>
      </w:r>
      <w:r>
        <w:t xml:space="preserve"> will conduct regular reviews of the following processes to ensure potency of our vaccine stock:</w:t>
      </w:r>
    </w:p>
    <w:p w:rsidR="004C2737" w:rsidRPr="004C2737" w:rsidRDefault="004C2737" w:rsidP="004C2737">
      <w:pPr>
        <w:pStyle w:val="Bullet2"/>
      </w:pPr>
      <w:r w:rsidRPr="004C2737">
        <w:t>Ordering and stock rotation protocols</w:t>
      </w:r>
    </w:p>
    <w:p w:rsidR="004C2737" w:rsidRPr="004C2737" w:rsidRDefault="004C2737" w:rsidP="004C2737">
      <w:pPr>
        <w:pStyle w:val="Bullet2"/>
      </w:pPr>
      <w:r w:rsidRPr="004C2737">
        <w:t>Maintenance of equipment</w:t>
      </w:r>
    </w:p>
    <w:p w:rsidR="004C2737" w:rsidRPr="004C2737" w:rsidRDefault="004C2737" w:rsidP="004C2737">
      <w:pPr>
        <w:pStyle w:val="Bullet2"/>
      </w:pPr>
      <w:r w:rsidRPr="004C2737">
        <w:t>Annual audit of our vaccine storage procedures</w:t>
      </w:r>
    </w:p>
    <w:p w:rsidR="004C2737" w:rsidRPr="004C2737" w:rsidRDefault="004C2737" w:rsidP="004C2737">
      <w:pPr>
        <w:pStyle w:val="Bullet2"/>
      </w:pPr>
      <w:r w:rsidRPr="004C2737">
        <w:t>Continuity of the cold chain, including the handover process between designated members of the practice team</w:t>
      </w:r>
    </w:p>
    <w:p w:rsidR="004C2737" w:rsidRDefault="004C2737" w:rsidP="00025E42">
      <w:pPr>
        <w:pStyle w:val="Bullet2"/>
      </w:pPr>
      <w:r>
        <w:t>Accuracy of our digital vaccine refrigerator thermometer</w:t>
      </w:r>
    </w:p>
    <w:p w:rsidR="004C2737" w:rsidRDefault="004C2737" w:rsidP="004C2737">
      <w:pPr>
        <w:pStyle w:val="Bullet1LAST"/>
      </w:pPr>
      <w:r w:rsidRPr="00B0496C">
        <w:t xml:space="preserve">All practice staff </w:t>
      </w:r>
      <w:r>
        <w:t>have been made</w:t>
      </w:r>
      <w:r w:rsidRPr="00B0496C">
        <w:t xml:space="preserve"> aware of the nominated staff members</w:t>
      </w:r>
      <w:r>
        <w:t xml:space="preserve"> through orientation/induction and staff meetings and are encouraged to ask the nominated person/s for advice and support to ensure vaccine potency</w:t>
      </w:r>
      <w:r w:rsidRPr="00B0496C">
        <w:t>.</w:t>
      </w:r>
    </w:p>
    <w:p w:rsidR="00C0638C" w:rsidRPr="00EB1F94" w:rsidRDefault="00C0638C" w:rsidP="00EB1F94">
      <w:pPr>
        <w:pStyle w:val="Style2"/>
      </w:pPr>
      <w:r w:rsidRPr="00EB1F94">
        <w:t>National vaccine storage guidelines</w:t>
      </w:r>
      <w:bookmarkEnd w:id="6"/>
      <w:bookmarkEnd w:id="7"/>
    </w:p>
    <w:p w:rsidR="007A6AB8" w:rsidRDefault="007A6AB8" w:rsidP="0092461F">
      <w:pPr>
        <w:pStyle w:val="Bullet1"/>
      </w:pPr>
      <w:r w:rsidRPr="00B0496C">
        <w:t xml:space="preserve">Vaccines are delicate biological products and if not stored appropriately </w:t>
      </w:r>
      <w:r>
        <w:t xml:space="preserve">they </w:t>
      </w:r>
      <w:r w:rsidRPr="00B0496C">
        <w:t>will become ineffective.</w:t>
      </w:r>
      <w:r>
        <w:t xml:space="preserve"> </w:t>
      </w:r>
    </w:p>
    <w:p w:rsidR="007A6AB8" w:rsidRDefault="007A6AB8" w:rsidP="0092461F">
      <w:pPr>
        <w:pStyle w:val="Bullet1"/>
      </w:pPr>
      <w:r>
        <w:t>In addition, many c</w:t>
      </w:r>
      <w:r w:rsidRPr="00B0496C">
        <w:t xml:space="preserve">onsumables, drugs and vaccines </w:t>
      </w:r>
      <w:r>
        <w:t xml:space="preserve">may be </w:t>
      </w:r>
      <w:r w:rsidRPr="00B0496C">
        <w:t>toxic or harmful if swallowed</w:t>
      </w:r>
      <w:r>
        <w:t xml:space="preserve">. </w:t>
      </w:r>
    </w:p>
    <w:p w:rsidR="007A6AB8" w:rsidRPr="00B0496C" w:rsidRDefault="007A6AB8" w:rsidP="0092461F">
      <w:pPr>
        <w:pStyle w:val="Bullet1"/>
      </w:pPr>
      <w:r>
        <w:t>To protect our staff,</w:t>
      </w:r>
      <w:r w:rsidRPr="00B0496C">
        <w:t xml:space="preserve"> patients and visitors</w:t>
      </w:r>
      <w:r>
        <w:t xml:space="preserve"> these</w:t>
      </w:r>
      <w:r w:rsidRPr="00B0496C">
        <w:t xml:space="preserve"> </w:t>
      </w:r>
      <w:r>
        <w:t>will be</w:t>
      </w:r>
      <w:r w:rsidRPr="00B0496C">
        <w:t xml:space="preserve"> stored </w:t>
      </w:r>
      <w:r>
        <w:t xml:space="preserve">in a manner that minimises risk, </w:t>
      </w:r>
      <w:r w:rsidRPr="00B0496C">
        <w:t>hazards</w:t>
      </w:r>
      <w:r>
        <w:t xml:space="preserve"> and avoidable events</w:t>
      </w:r>
      <w:r w:rsidRPr="00B0496C">
        <w:t>.</w:t>
      </w:r>
    </w:p>
    <w:p w:rsidR="00A72699" w:rsidRDefault="00A72699" w:rsidP="0092461F">
      <w:pPr>
        <w:pStyle w:val="Bullet1"/>
      </w:pPr>
      <w:r>
        <w:t>A</w:t>
      </w:r>
      <w:r w:rsidR="00C0638C" w:rsidRPr="00B0496C">
        <w:t xml:space="preserve">ll </w:t>
      </w:r>
      <w:r w:rsidR="00150E7E">
        <w:t xml:space="preserve">medical supplies, including but not exclusive of, </w:t>
      </w:r>
      <w:r w:rsidR="00C0638C" w:rsidRPr="00B0496C">
        <w:t>consumables, drugs and vaccines</w:t>
      </w:r>
      <w:r w:rsidR="00191DDA">
        <w:t>,</w:t>
      </w:r>
      <w:r w:rsidR="00C0638C" w:rsidRPr="00B0496C">
        <w:t xml:space="preserve"> are </w:t>
      </w:r>
      <w:r w:rsidR="00150E7E">
        <w:t xml:space="preserve">stored </w:t>
      </w:r>
      <w:r w:rsidR="00C0638C" w:rsidRPr="00B0496C">
        <w:t xml:space="preserve">in conditions that </w:t>
      </w:r>
      <w:r>
        <w:t xml:space="preserve">are in </w:t>
      </w:r>
      <w:r w:rsidR="00150E7E">
        <w:t>accordance</w:t>
      </w:r>
      <w:r>
        <w:t xml:space="preserve"> with the </w:t>
      </w:r>
      <w:r w:rsidR="00150E7E">
        <w:t>manufacturer</w:t>
      </w:r>
      <w:r>
        <w:t xml:space="preserve"> instructions</w:t>
      </w:r>
      <w:r w:rsidR="007A6AB8">
        <w:t xml:space="preserve"> to maintain efficacy</w:t>
      </w:r>
      <w:r>
        <w:t xml:space="preserve">. </w:t>
      </w:r>
    </w:p>
    <w:p w:rsidR="00C0638C" w:rsidRPr="00B0496C" w:rsidRDefault="00C0638C" w:rsidP="0092461F">
      <w:pPr>
        <w:pStyle w:val="Bullet1"/>
      </w:pPr>
      <w:r w:rsidRPr="00B0496C">
        <w:t>Our practice maintain</w:t>
      </w:r>
      <w:r w:rsidR="00150E7E">
        <w:t>s</w:t>
      </w:r>
      <w:r w:rsidRPr="00B0496C">
        <w:t xml:space="preserve"> the ‘cold chain’ system of transporting and storing vaccines within the safe temperature range of between 2</w:t>
      </w:r>
      <w:r w:rsidRPr="00B0496C">
        <w:rPr>
          <w:vertAlign w:val="superscript"/>
        </w:rPr>
        <w:t>o</w:t>
      </w:r>
      <w:r w:rsidRPr="00B0496C">
        <w:t>C – 8</w:t>
      </w:r>
      <w:r w:rsidRPr="00B0496C">
        <w:rPr>
          <w:vertAlign w:val="superscript"/>
        </w:rPr>
        <w:t>o</w:t>
      </w:r>
      <w:r w:rsidR="00150E7E">
        <w:rPr>
          <w:vertAlign w:val="superscript"/>
        </w:rPr>
        <w:t xml:space="preserve"> </w:t>
      </w:r>
      <w:r w:rsidR="00150E7E" w:rsidRPr="00B0496C">
        <w:t>C</w:t>
      </w:r>
      <w:r w:rsidR="00150E7E">
        <w:t>elsius (C)</w:t>
      </w:r>
      <w:r w:rsidRPr="00B0496C">
        <w:t>, preferably stabilising at 5</w:t>
      </w:r>
      <w:r w:rsidRPr="00B0496C">
        <w:rPr>
          <w:vertAlign w:val="superscript"/>
        </w:rPr>
        <w:t>o</w:t>
      </w:r>
      <w:r w:rsidRPr="00B0496C">
        <w:t xml:space="preserve">C. </w:t>
      </w:r>
    </w:p>
    <w:p w:rsidR="00C0638C" w:rsidRPr="0092461F" w:rsidRDefault="00C0638C" w:rsidP="0092461F">
      <w:pPr>
        <w:pStyle w:val="Bullet1"/>
        <w:rPr>
          <w:rStyle w:val="TextChar"/>
          <w:snapToGrid w:val="0"/>
        </w:rPr>
      </w:pPr>
      <w:r w:rsidRPr="00B0496C">
        <w:t xml:space="preserve">It is the responsibility of </w:t>
      </w:r>
      <w:r w:rsidRPr="00191DDA">
        <w:rPr>
          <w:rStyle w:val="PracticedetailsChar"/>
        </w:rPr>
        <w:t xml:space="preserve">&lt;insert name&gt; </w:t>
      </w:r>
      <w:r w:rsidRPr="00150E7E">
        <w:rPr>
          <w:rStyle w:val="TextChar"/>
        </w:rPr>
        <w:t xml:space="preserve">to maintain </w:t>
      </w:r>
      <w:r w:rsidR="00150E7E">
        <w:rPr>
          <w:rStyle w:val="TextChar"/>
        </w:rPr>
        <w:t xml:space="preserve">our practice’s </w:t>
      </w:r>
      <w:r w:rsidRPr="00150E7E">
        <w:rPr>
          <w:rStyle w:val="TextChar"/>
        </w:rPr>
        <w:t>medical supplies.</w:t>
      </w:r>
    </w:p>
    <w:p w:rsidR="00B4612F" w:rsidRDefault="0092461F" w:rsidP="0092461F">
      <w:pPr>
        <w:pStyle w:val="Bullet1"/>
      </w:pPr>
      <w:bookmarkStart w:id="8" w:name="_Toc25989802"/>
      <w:bookmarkStart w:id="9" w:name="_Toc25990567"/>
      <w:bookmarkStart w:id="10" w:name="_Toc62960559"/>
      <w:bookmarkStart w:id="11" w:name="_Toc386618955"/>
      <w:bookmarkStart w:id="12" w:name="_Toc386806012"/>
      <w:bookmarkStart w:id="13" w:name="_Toc386806464"/>
      <w:bookmarkStart w:id="14" w:name="_Toc389058920"/>
      <w:bookmarkStart w:id="15" w:name="_Toc409776078"/>
      <w:r>
        <w:t>All v</w:t>
      </w:r>
      <w:r w:rsidR="00B4612F" w:rsidRPr="009C526E">
        <w:t>accines will be stored in a d</w:t>
      </w:r>
      <w:r w:rsidR="00B4612F">
        <w:t xml:space="preserve">edicated vaccine refrigerator. </w:t>
      </w:r>
    </w:p>
    <w:p w:rsidR="00B4612F" w:rsidRPr="009C526E" w:rsidRDefault="00B4612F" w:rsidP="00B4612F">
      <w:pPr>
        <w:pStyle w:val="Bullet1"/>
      </w:pPr>
      <w:r w:rsidRPr="009C526E">
        <w:t>Food and drink will not be s</w:t>
      </w:r>
      <w:r>
        <w:t>tored in vaccine refrigerators.</w:t>
      </w:r>
      <w:r w:rsidRPr="009C526E">
        <w:t xml:space="preserve"> </w:t>
      </w:r>
      <w:r>
        <w:t>(</w:t>
      </w:r>
      <w:r w:rsidRPr="009C526E">
        <w:t xml:space="preserve">The </w:t>
      </w:r>
      <w:r w:rsidRPr="009C526E">
        <w:rPr>
          <w:i/>
        </w:rPr>
        <w:t>National Vaccine Storage Guidelines</w:t>
      </w:r>
      <w:r w:rsidRPr="009C526E">
        <w:t xml:space="preserve"> advise against using bar refrigerators or cyclic defrost domestic refrigerators as they are not suitable for vaccines.</w:t>
      </w:r>
      <w:r>
        <w:t>)</w:t>
      </w:r>
    </w:p>
    <w:p w:rsidR="00B4612F" w:rsidRDefault="00B4612F" w:rsidP="00B4612F">
      <w:pPr>
        <w:pStyle w:val="Bullet1"/>
      </w:pPr>
      <w:r>
        <w:t>O</w:t>
      </w:r>
      <w:r w:rsidRPr="009C526E">
        <w:t xml:space="preserve">pening </w:t>
      </w:r>
      <w:r>
        <w:t>t</w:t>
      </w:r>
      <w:r w:rsidRPr="009C526E">
        <w:t xml:space="preserve">he vaccine </w:t>
      </w:r>
      <w:r>
        <w:t>refrigerator</w:t>
      </w:r>
      <w:r w:rsidRPr="009C526E">
        <w:t xml:space="preserve"> door will be kept to a minimum.</w:t>
      </w:r>
      <w:r>
        <w:t xml:space="preserve"> </w:t>
      </w:r>
      <w:r w:rsidRPr="009C526E">
        <w:t xml:space="preserve">There is a sticker on the </w:t>
      </w:r>
      <w:r>
        <w:t>refrigerator</w:t>
      </w:r>
      <w:r w:rsidRPr="009C526E">
        <w:t xml:space="preserve"> door near the handle instructing staff to consider whether or not they need to open it.</w:t>
      </w:r>
      <w:r w:rsidRPr="007A6AB8">
        <w:t xml:space="preserve"> </w:t>
      </w:r>
      <w:r>
        <w:t>(</w:t>
      </w:r>
      <w:r w:rsidRPr="00C04F16">
        <w:rPr>
          <w:i/>
        </w:rPr>
        <w:t>Stickers are available from Strive for 5</w:t>
      </w:r>
      <w:r>
        <w:t>)</w:t>
      </w:r>
    </w:p>
    <w:p w:rsidR="00B4612F" w:rsidRPr="009C526E" w:rsidRDefault="00B4612F" w:rsidP="00B4612F">
      <w:pPr>
        <w:pStyle w:val="Bullet1"/>
      </w:pPr>
      <w:r w:rsidRPr="009C526E">
        <w:t>Vaccines are stor</w:t>
      </w:r>
      <w:r>
        <w:t>ed on middle and upper shelves.</w:t>
      </w:r>
      <w:r w:rsidRPr="009C526E">
        <w:t xml:space="preserve"> Lower shelves, drawers and door of </w:t>
      </w:r>
      <w:r>
        <w:t>the refrigerator</w:t>
      </w:r>
      <w:r w:rsidRPr="009C526E">
        <w:t xml:space="preserve"> become too warm (above 10</w:t>
      </w:r>
      <w:r w:rsidRPr="007A6AB8">
        <w:rPr>
          <w:vertAlign w:val="superscript"/>
        </w:rPr>
        <w:t>o</w:t>
      </w:r>
      <w:r w:rsidRPr="009C526E">
        <w:t xml:space="preserve">C) if the </w:t>
      </w:r>
      <w:r>
        <w:t>refrigerator</w:t>
      </w:r>
      <w:r w:rsidRPr="009C526E">
        <w:t xml:space="preserve"> is opened frequently.</w:t>
      </w:r>
    </w:p>
    <w:p w:rsidR="00B4612F" w:rsidRPr="009C526E" w:rsidRDefault="00B4612F" w:rsidP="00B4612F">
      <w:pPr>
        <w:pStyle w:val="Bullet1"/>
      </w:pPr>
      <w:r>
        <w:lastRenderedPageBreak/>
        <w:t>We m</w:t>
      </w:r>
      <w:r w:rsidRPr="009C526E">
        <w:t>aintain a space between vaccine packages</w:t>
      </w:r>
      <w:r>
        <w:t xml:space="preserve"> (such as by using an </w:t>
      </w:r>
      <w:r w:rsidRPr="007A6AB8">
        <w:rPr>
          <w:rStyle w:val="PracticedetailsChar"/>
        </w:rPr>
        <w:t>open-weave plastic container</w:t>
      </w:r>
      <w:r w:rsidRPr="007A6AB8">
        <w:rPr>
          <w:rStyle w:val="TextChar"/>
        </w:rPr>
        <w:t>)</w:t>
      </w:r>
      <w:r w:rsidRPr="009C526E">
        <w:t xml:space="preserve"> and the evaporation plate to prevent the vaccines from </w:t>
      </w:r>
      <w:r>
        <w:t>f</w:t>
      </w:r>
      <w:r w:rsidRPr="009C526E">
        <w:t>reezing thr</w:t>
      </w:r>
      <w:r>
        <w:t xml:space="preserve">ough contact with the plate. </w:t>
      </w:r>
    </w:p>
    <w:p w:rsidR="00B4612F" w:rsidRPr="009C526E" w:rsidRDefault="00B4612F" w:rsidP="00B4612F">
      <w:pPr>
        <w:pStyle w:val="Bullet1"/>
      </w:pPr>
      <w:r w:rsidRPr="009C526E">
        <w:t>Vaccines are stored with earlier expiry dates to front. This will ensure that stock is rotated regularly.</w:t>
      </w:r>
    </w:p>
    <w:p w:rsidR="00B4612F" w:rsidRDefault="00B4612F" w:rsidP="0092461F">
      <w:pPr>
        <w:pStyle w:val="Bullet1LAST"/>
      </w:pPr>
      <w:r w:rsidRPr="009C526E">
        <w:t>Gaps are left around the vaccines to al</w:t>
      </w:r>
      <w:r>
        <w:t xml:space="preserve">low the cool air to circulate. </w:t>
      </w:r>
      <w:r w:rsidRPr="009C526E">
        <w:t>A gap of at least 4cm from all walls and between large packages of vaccine vials is recommended.</w:t>
      </w:r>
    </w:p>
    <w:p w:rsidR="0092461F" w:rsidRPr="00B4612F" w:rsidRDefault="0092461F" w:rsidP="0092461F">
      <w:pPr>
        <w:pStyle w:val="Bullet1"/>
        <w:rPr>
          <w:rStyle w:val="Style3Char"/>
        </w:rPr>
      </w:pPr>
      <w:r w:rsidRPr="009C526E">
        <w:t>Expired vaccines are discarded immediately upon expiry and recorded o</w:t>
      </w:r>
      <w:r>
        <w:t xml:space="preserve">n the </w:t>
      </w:r>
      <w:r w:rsidRPr="00B4612F">
        <w:rPr>
          <w:rStyle w:val="Style3Char"/>
        </w:rPr>
        <w:t xml:space="preserve">VACCINATION RECORD FORM. </w:t>
      </w:r>
    </w:p>
    <w:p w:rsidR="0092461F" w:rsidRDefault="0092461F" w:rsidP="0092461F">
      <w:pPr>
        <w:pStyle w:val="Bullet2"/>
      </w:pPr>
      <w:r>
        <w:t>Our practice will</w:t>
      </w:r>
      <w:r w:rsidRPr="009C526E">
        <w:t xml:space="preserve"> contact the Western Australian Department of Health before disc</w:t>
      </w:r>
      <w:r>
        <w:t>arding any government vaccines.</w:t>
      </w:r>
      <w:r w:rsidRPr="009C526E">
        <w:t xml:space="preserve"> </w:t>
      </w:r>
    </w:p>
    <w:p w:rsidR="0092461F" w:rsidRPr="009C526E" w:rsidRDefault="0092461F" w:rsidP="0092461F">
      <w:pPr>
        <w:pStyle w:val="Bullet2LAST"/>
      </w:pPr>
      <w:r w:rsidRPr="009C526E">
        <w:t xml:space="preserve">Other vaccines </w:t>
      </w:r>
      <w:r>
        <w:t>are</w:t>
      </w:r>
      <w:r w:rsidRPr="009C526E">
        <w:t xml:space="preserve"> discarded in the hazardous waste bin or taken to a pharmacy for disposal.</w:t>
      </w:r>
    </w:p>
    <w:p w:rsidR="0092461F" w:rsidRPr="00EB1F94" w:rsidRDefault="0092461F" w:rsidP="0092461F">
      <w:pPr>
        <w:pStyle w:val="Style2"/>
      </w:pPr>
      <w:bookmarkStart w:id="16" w:name="_Toc409776075"/>
      <w:r w:rsidRPr="00EB1F94">
        <w:t>Packing a vaccine refrigerator</w:t>
      </w:r>
      <w:bookmarkEnd w:id="16"/>
    </w:p>
    <w:p w:rsidR="0092461F" w:rsidRPr="0063672D" w:rsidRDefault="0092461F" w:rsidP="0092461F">
      <w:pPr>
        <w:pStyle w:val="Text"/>
      </w:pPr>
      <w:r>
        <w:t>When stocking the refrigerator, the nominated person will:</w:t>
      </w:r>
    </w:p>
    <w:p w:rsidR="0092461F" w:rsidRPr="00B0496C" w:rsidRDefault="0092461F" w:rsidP="0092461F">
      <w:pPr>
        <w:pStyle w:val="Bullet1"/>
      </w:pPr>
      <w:r w:rsidRPr="00B0496C">
        <w:t xml:space="preserve">Put new stock to the rear </w:t>
      </w:r>
      <w:r>
        <w:t xml:space="preserve">(with a longer expiration period) </w:t>
      </w:r>
      <w:r w:rsidRPr="00B0496C">
        <w:t xml:space="preserve">and move existing stock </w:t>
      </w:r>
      <w:r>
        <w:t xml:space="preserve">(with a shorter expiration period) </w:t>
      </w:r>
      <w:r w:rsidRPr="00B0496C">
        <w:t>forward</w:t>
      </w:r>
      <w:r>
        <w:t xml:space="preserve"> to be used first</w:t>
      </w:r>
      <w:r w:rsidRPr="00B0496C">
        <w:t>.</w:t>
      </w:r>
    </w:p>
    <w:p w:rsidR="0092461F" w:rsidRPr="00B0496C" w:rsidRDefault="0092461F" w:rsidP="0092461F">
      <w:pPr>
        <w:pStyle w:val="Bullet1"/>
      </w:pPr>
      <w:r w:rsidRPr="00B0496C">
        <w:t>Store emergency drugs on the lower shelves.</w:t>
      </w:r>
    </w:p>
    <w:p w:rsidR="0092461F" w:rsidRPr="00B0496C" w:rsidRDefault="0092461F" w:rsidP="0092461F">
      <w:pPr>
        <w:pStyle w:val="Bullet1"/>
      </w:pPr>
      <w:r w:rsidRPr="00B0496C">
        <w:t>Store the vaccines in their original packaging from the manufacturer as this helps to protect them from temperature fluctuations and ultraviolet (UV) light.</w:t>
      </w:r>
    </w:p>
    <w:p w:rsidR="0092461F" w:rsidRPr="00B0496C" w:rsidRDefault="0092461F" w:rsidP="0092461F">
      <w:pPr>
        <w:pStyle w:val="Bullet1"/>
      </w:pPr>
      <w:r w:rsidRPr="00B0496C">
        <w:t>Label containers clearly with names of vaccines.</w:t>
      </w:r>
    </w:p>
    <w:p w:rsidR="0092461F" w:rsidRPr="00B0496C" w:rsidRDefault="0092461F" w:rsidP="0092461F">
      <w:pPr>
        <w:pStyle w:val="Bullet1"/>
      </w:pPr>
      <w:r>
        <w:t>N</w:t>
      </w:r>
      <w:r w:rsidRPr="00B0496C">
        <w:t>ot crowd the vaccines by overfilling the shelves. If not using open weave baskets, allow space between containers for air circulation.</w:t>
      </w:r>
    </w:p>
    <w:p w:rsidR="0092461F" w:rsidRPr="00B0496C" w:rsidRDefault="0092461F" w:rsidP="0092461F">
      <w:pPr>
        <w:pStyle w:val="Bullet1"/>
      </w:pPr>
      <w:r w:rsidRPr="00B0496C">
        <w:t>When storing influenza vaccine</w:t>
      </w:r>
      <w:r>
        <w:t>s</w:t>
      </w:r>
      <w:r w:rsidRPr="00B0496C">
        <w:t xml:space="preserve">, separate and clearly label vaccines for adults and children less than five years of age and store them in separate areas of the refrigerator. </w:t>
      </w:r>
    </w:p>
    <w:p w:rsidR="0092461F" w:rsidRPr="00B0496C" w:rsidRDefault="0092461F" w:rsidP="0092461F">
      <w:pPr>
        <w:pStyle w:val="Bullet1"/>
      </w:pPr>
      <w:r w:rsidRPr="00B0496C">
        <w:t xml:space="preserve">Ensure privately purchased vaccines are clearly marked </w:t>
      </w:r>
      <w:r>
        <w:t xml:space="preserve">with the patient name </w:t>
      </w:r>
      <w:r w:rsidRPr="00B0496C">
        <w:t xml:space="preserve">and separated from the National Immunisation Program </w:t>
      </w:r>
      <w:r>
        <w:t xml:space="preserve">or </w:t>
      </w:r>
      <w:r w:rsidRPr="009C526E">
        <w:t xml:space="preserve">Western Australian Department of Health </w:t>
      </w:r>
      <w:r w:rsidRPr="00B0496C">
        <w:t>vaccines.</w:t>
      </w:r>
    </w:p>
    <w:p w:rsidR="0092461F" w:rsidRPr="00B0496C" w:rsidRDefault="0092461F" w:rsidP="0092461F">
      <w:pPr>
        <w:pStyle w:val="Bullet1"/>
      </w:pPr>
      <w:r w:rsidRPr="00B0496C">
        <w:t>For a solid door refrigerator, place a guide on the outside of the refrigerator indicating where</w:t>
      </w:r>
      <w:r>
        <w:t xml:space="preserve"> each type of vaccine is stored, for example a </w:t>
      </w:r>
      <w:r w:rsidRPr="00B0496C">
        <w:t>picture or map of the packed refrigerator.</w:t>
      </w:r>
      <w:r>
        <w:t xml:space="preserve"> This allows quick open and shut of the door.</w:t>
      </w:r>
    </w:p>
    <w:p w:rsidR="0092461F" w:rsidRPr="00B0496C" w:rsidRDefault="0092461F" w:rsidP="0092461F">
      <w:pPr>
        <w:pStyle w:val="Bullet1"/>
      </w:pPr>
      <w:r>
        <w:t>N</w:t>
      </w:r>
      <w:r w:rsidRPr="00B0496C">
        <w:t>ot store food and other goods in the refrigerator. This would increase the likelihood of a cold chain breach by:</w:t>
      </w:r>
    </w:p>
    <w:p w:rsidR="0092461F" w:rsidRPr="009C526E" w:rsidRDefault="0092461F" w:rsidP="0092461F">
      <w:pPr>
        <w:pStyle w:val="Bullet2"/>
      </w:pPr>
      <w:r w:rsidRPr="009C526E">
        <w:t>Overcrowding the vaccines.</w:t>
      </w:r>
    </w:p>
    <w:p w:rsidR="0092461F" w:rsidRPr="0063672D" w:rsidRDefault="0092461F" w:rsidP="0092461F">
      <w:pPr>
        <w:pStyle w:val="Bullet2LAST"/>
      </w:pPr>
      <w:r w:rsidRPr="0063672D">
        <w:t>Increasing the number of door openings.</w:t>
      </w:r>
    </w:p>
    <w:p w:rsidR="00B4612F" w:rsidRDefault="00B4612F" w:rsidP="00B4612F">
      <w:pPr>
        <w:pStyle w:val="Style2"/>
      </w:pPr>
      <w:r>
        <w:t>Use of salt water bottles</w:t>
      </w:r>
    </w:p>
    <w:p w:rsidR="00B4612F" w:rsidRDefault="00B4612F" w:rsidP="00B4612F">
      <w:pPr>
        <w:pStyle w:val="Bullet1"/>
      </w:pPr>
      <w:r w:rsidRPr="009C526E">
        <w:t xml:space="preserve">Salt water bottles help stabilise the temperature in the vaccine </w:t>
      </w:r>
      <w:r>
        <w:t>refrigerator</w:t>
      </w:r>
      <w:r w:rsidRPr="009C526E">
        <w:t xml:space="preserve">. </w:t>
      </w:r>
    </w:p>
    <w:p w:rsidR="00B4612F" w:rsidRDefault="00B4612F" w:rsidP="00B4612F">
      <w:pPr>
        <w:pStyle w:val="Bullet1"/>
      </w:pPr>
      <w:r w:rsidRPr="009C526E">
        <w:t>Add enough salt to make water undrinkable (approx. 1-2 tablespoon</w:t>
      </w:r>
      <w:r>
        <w:t xml:space="preserve">s of salt per litre of water). </w:t>
      </w:r>
    </w:p>
    <w:p w:rsidR="00B4612F" w:rsidRDefault="00B4612F" w:rsidP="00B4612F">
      <w:pPr>
        <w:pStyle w:val="Bullet1"/>
      </w:pPr>
      <w:r>
        <w:t>Line the</w:t>
      </w:r>
      <w:r w:rsidRPr="009C526E">
        <w:t xml:space="preserve"> lower drawers and doors</w:t>
      </w:r>
      <w:r>
        <w:t xml:space="preserve"> of the vaccine refrigerator</w:t>
      </w:r>
      <w:r w:rsidRPr="009C526E">
        <w:t xml:space="preserve"> with bottles of sal</w:t>
      </w:r>
      <w:r>
        <w:t xml:space="preserve">t water. </w:t>
      </w:r>
    </w:p>
    <w:p w:rsidR="00B4612F" w:rsidRPr="009C526E" w:rsidRDefault="00B4612F" w:rsidP="00B4612F">
      <w:pPr>
        <w:pStyle w:val="Bullet1"/>
      </w:pPr>
      <w:r>
        <w:t>A</w:t>
      </w:r>
      <w:r w:rsidRPr="009C526E">
        <w:t>llow space between the bottles for air circulation.</w:t>
      </w:r>
    </w:p>
    <w:p w:rsidR="00B4612F" w:rsidRPr="009C526E" w:rsidRDefault="00B4612F" w:rsidP="00B4612F">
      <w:pPr>
        <w:pStyle w:val="Bullet1"/>
      </w:pPr>
      <w:r>
        <w:t>Label</w:t>
      </w:r>
      <w:r w:rsidRPr="009C526E">
        <w:t xml:space="preserve"> salt water bottles accordingly.</w:t>
      </w:r>
    </w:p>
    <w:p w:rsidR="00B4612F" w:rsidRPr="00970D99" w:rsidRDefault="00B4612F" w:rsidP="00970D99">
      <w:pPr>
        <w:pStyle w:val="Bullet1LAST"/>
      </w:pPr>
      <w:r w:rsidRPr="00970D99">
        <w:t>The vaccine refrigerator will not be over-filled to ensure that air is able to circulate around the vaccines.</w:t>
      </w:r>
    </w:p>
    <w:p w:rsidR="00B4612F" w:rsidRPr="00EB1F94" w:rsidRDefault="00B4612F" w:rsidP="00B4612F">
      <w:pPr>
        <w:pStyle w:val="Style2"/>
      </w:pPr>
      <w:bookmarkStart w:id="17" w:name="_Toc386618958"/>
      <w:bookmarkStart w:id="18" w:name="_Toc386806015"/>
      <w:bookmarkStart w:id="19" w:name="_Toc386806467"/>
      <w:bookmarkStart w:id="20" w:name="_Toc389058923"/>
      <w:bookmarkStart w:id="21" w:name="_Toc409776081"/>
      <w:r w:rsidRPr="00EB1F94">
        <w:t>Cold chain failure</w:t>
      </w:r>
      <w:bookmarkEnd w:id="17"/>
      <w:bookmarkEnd w:id="18"/>
      <w:bookmarkEnd w:id="19"/>
      <w:bookmarkEnd w:id="20"/>
      <w:bookmarkEnd w:id="21"/>
      <w:r w:rsidRPr="00EB1F94">
        <w:t xml:space="preserve"> (suspected or confirmed)</w:t>
      </w:r>
    </w:p>
    <w:p w:rsidR="00B4612F" w:rsidRPr="00A272D3" w:rsidRDefault="00B4612F" w:rsidP="00B4612F">
      <w:pPr>
        <w:pStyle w:val="Text"/>
      </w:pPr>
      <w:r w:rsidRPr="00A272D3">
        <w:t>In the event of a known or suspected cold chain failure</w:t>
      </w:r>
      <w:r>
        <w:t xml:space="preserve"> we will</w:t>
      </w:r>
      <w:r w:rsidRPr="00A272D3">
        <w:t>:</w:t>
      </w:r>
    </w:p>
    <w:p w:rsidR="00B4612F" w:rsidRPr="00730165" w:rsidRDefault="00B4612F" w:rsidP="00B4612F">
      <w:pPr>
        <w:pStyle w:val="Bullet1"/>
        <w:rPr>
          <w:rStyle w:val="Bullet1LASTChar"/>
        </w:rPr>
      </w:pPr>
      <w:r>
        <w:t>N</w:t>
      </w:r>
      <w:r w:rsidRPr="00B0496C">
        <w:t xml:space="preserve">ot use the vaccines. </w:t>
      </w:r>
      <w:r>
        <w:t>We will r</w:t>
      </w:r>
      <w:r w:rsidRPr="00B0496C">
        <w:t xml:space="preserve">efrigerate them </w:t>
      </w:r>
      <w:r w:rsidRPr="00730165">
        <w:rPr>
          <w:rStyle w:val="Bullet1LASTChar"/>
        </w:rPr>
        <w:t>immediately and contact the supplier for advice.</w:t>
      </w:r>
    </w:p>
    <w:p w:rsidR="00B4612F" w:rsidRPr="0051641E" w:rsidRDefault="00B4612F" w:rsidP="00B4612F">
      <w:pPr>
        <w:pStyle w:val="Bullet1"/>
      </w:pPr>
      <w:r w:rsidRPr="0051641E">
        <w:t>Isolate the suspect vaccines in the refrigerator in a labelled container and do not use them until advised otherwise.</w:t>
      </w:r>
    </w:p>
    <w:p w:rsidR="00B4612F" w:rsidRPr="0051641E" w:rsidRDefault="00B4612F" w:rsidP="00B4612F">
      <w:pPr>
        <w:pStyle w:val="Bullet1"/>
      </w:pPr>
      <w:r w:rsidRPr="0051641E">
        <w:t xml:space="preserve">Fill out the </w:t>
      </w:r>
      <w:r w:rsidRPr="00B4612F">
        <w:rPr>
          <w:rStyle w:val="Style3Char"/>
        </w:rPr>
        <w:t>COLD CHAIN BREACH AND VACCINE WASTAGE FORM</w:t>
      </w:r>
      <w:r w:rsidRPr="0051641E">
        <w:t xml:space="preserve"> found on the Government of Western Australia Department of Health website at: </w:t>
      </w:r>
      <w:hyperlink r:id="rId10" w:history="1">
        <w:r w:rsidRPr="0051641E">
          <w:rPr>
            <w:rStyle w:val="Hyperlink"/>
            <w:color w:val="auto"/>
          </w:rPr>
          <w:t>http://ww2.health.wa.gov.au/Articles/A_E/Cold-chain-management</w:t>
        </w:r>
      </w:hyperlink>
    </w:p>
    <w:p w:rsidR="00B4612F" w:rsidRPr="00846CC9" w:rsidRDefault="00B4612F" w:rsidP="00B4612F">
      <w:pPr>
        <w:pStyle w:val="Bullet1"/>
      </w:pPr>
      <w:r w:rsidRPr="0051641E">
        <w:lastRenderedPageBreak/>
        <w:t xml:space="preserve">Contact the Communicable Disease Control Directorate (CDCD), Western Australian Department of </w:t>
      </w:r>
      <w:r w:rsidR="0037711D" w:rsidRPr="0051641E">
        <w:t>Health (</w:t>
      </w:r>
      <w:hyperlink r:id="rId11" w:history="1">
        <w:r w:rsidRPr="0037711D">
          <w:rPr>
            <w:rStyle w:val="Hyperlink"/>
            <w:color w:val="auto"/>
          </w:rPr>
          <w:t>http://www.healthywa.wa.gov.au/publichealthunits</w:t>
        </w:r>
      </w:hyperlink>
      <w:r w:rsidRPr="0051641E">
        <w:t>) and alert them to the suspected cold chain failure.</w:t>
      </w:r>
      <w:r w:rsidR="0037711D">
        <w:t xml:space="preserve"> </w:t>
      </w:r>
      <w:r w:rsidRPr="0051641E">
        <w:t>Follow all instructions provided by CDCD.</w:t>
      </w:r>
    </w:p>
    <w:p w:rsidR="00B4612F" w:rsidRDefault="00B4612F" w:rsidP="00B4612F">
      <w:pPr>
        <w:pStyle w:val="Bullet1"/>
      </w:pPr>
      <w:r w:rsidRPr="0051641E">
        <w:t xml:space="preserve">If requested, fax through the </w:t>
      </w:r>
      <w:r>
        <w:t xml:space="preserve">completed </w:t>
      </w:r>
      <w:r w:rsidRPr="00B4612F">
        <w:rPr>
          <w:rStyle w:val="Style3Char"/>
        </w:rPr>
        <w:t>COLD CHAIN BREACH AND VACCINE WASTAGE FORM</w:t>
      </w:r>
      <w:r w:rsidRPr="0051641E">
        <w:t>.</w:t>
      </w:r>
    </w:p>
    <w:p w:rsidR="00B4612F" w:rsidRPr="00970D99" w:rsidRDefault="00B4612F" w:rsidP="00970D99">
      <w:pPr>
        <w:pStyle w:val="Bullet1LAST"/>
      </w:pPr>
      <w:r w:rsidRPr="00970D99">
        <w:t>Do not discard any vaccine unless directed to so by CDCD.</w:t>
      </w:r>
    </w:p>
    <w:p w:rsidR="00764C37" w:rsidRPr="00EB1F94" w:rsidRDefault="00764C37" w:rsidP="00EB1F94">
      <w:pPr>
        <w:pStyle w:val="Style2"/>
      </w:pPr>
      <w:r w:rsidRPr="00EB1F94">
        <w:t>Delivery of vaccines</w:t>
      </w:r>
      <w:bookmarkEnd w:id="8"/>
      <w:bookmarkEnd w:id="9"/>
      <w:bookmarkEnd w:id="10"/>
      <w:bookmarkEnd w:id="11"/>
      <w:bookmarkEnd w:id="12"/>
      <w:bookmarkEnd w:id="13"/>
      <w:bookmarkEnd w:id="14"/>
      <w:bookmarkEnd w:id="15"/>
    </w:p>
    <w:p w:rsidR="00764C37" w:rsidRDefault="00764C37" w:rsidP="00764C37">
      <w:pPr>
        <w:pStyle w:val="Bullet1"/>
      </w:pPr>
      <w:r>
        <w:t xml:space="preserve">Vaccines are delivered by the </w:t>
      </w:r>
      <w:r w:rsidR="00730165">
        <w:t>supplier</w:t>
      </w:r>
      <w:r>
        <w:t xml:space="preserve"> in refrigerated containers.</w:t>
      </w:r>
    </w:p>
    <w:p w:rsidR="00764C37" w:rsidRPr="00B0496C" w:rsidRDefault="00764C37" w:rsidP="00764C37">
      <w:pPr>
        <w:pStyle w:val="Bullet1"/>
      </w:pPr>
      <w:r>
        <w:t>Upon delivery of vaccines, the receiver (</w:t>
      </w:r>
      <w:proofErr w:type="spellStart"/>
      <w:r>
        <w:t>ie</w:t>
      </w:r>
      <w:proofErr w:type="spellEnd"/>
      <w:r>
        <w:t xml:space="preserve"> receptionist) will c</w:t>
      </w:r>
      <w:r w:rsidRPr="00B0496C">
        <w:t>heck</w:t>
      </w:r>
      <w:r>
        <w:t xml:space="preserve"> the</w:t>
      </w:r>
      <w:r w:rsidRPr="00B0496C">
        <w:t xml:space="preserve"> consignment</w:t>
      </w:r>
      <w:r>
        <w:t xml:space="preserve"> and transfer to the nominated person </w:t>
      </w:r>
      <w:r w:rsidRPr="00191DDA">
        <w:rPr>
          <w:rStyle w:val="PracticedetailsChar"/>
        </w:rPr>
        <w:t xml:space="preserve">&lt;insert name&gt; </w:t>
      </w:r>
      <w:r>
        <w:t>immediately</w:t>
      </w:r>
      <w:r w:rsidRPr="00B0496C">
        <w:t>.</w:t>
      </w:r>
    </w:p>
    <w:p w:rsidR="00764C37" w:rsidRDefault="00764C37" w:rsidP="00764C37">
      <w:pPr>
        <w:pStyle w:val="Bullet1"/>
      </w:pPr>
      <w:r>
        <w:t xml:space="preserve">The nominated person </w:t>
      </w:r>
      <w:r w:rsidRPr="00191DDA">
        <w:rPr>
          <w:rStyle w:val="PracticedetailsChar"/>
        </w:rPr>
        <w:t>&lt;insert name&gt;</w:t>
      </w:r>
      <w:r>
        <w:t xml:space="preserve"> will:</w:t>
      </w:r>
    </w:p>
    <w:p w:rsidR="00764C37" w:rsidRPr="00B0496C" w:rsidRDefault="00764C37" w:rsidP="00764C37">
      <w:pPr>
        <w:pStyle w:val="Bullet2"/>
      </w:pPr>
      <w:r>
        <w:t>e</w:t>
      </w:r>
      <w:r w:rsidRPr="00B0496C">
        <w:t>nsure the freezer blocks in the consignment are still partly frozen on arrival.</w:t>
      </w:r>
    </w:p>
    <w:p w:rsidR="00764C37" w:rsidRPr="00B0496C" w:rsidRDefault="00764C37" w:rsidP="00764C37">
      <w:pPr>
        <w:pStyle w:val="Bullet2"/>
      </w:pPr>
      <w:r>
        <w:t>c</w:t>
      </w:r>
      <w:r w:rsidRPr="00B0496C">
        <w:t>heck the temperature monitor is included and of a satisfactory temperature.</w:t>
      </w:r>
    </w:p>
    <w:p w:rsidR="00764C37" w:rsidRPr="00B0496C" w:rsidRDefault="00764C37" w:rsidP="00764C37">
      <w:pPr>
        <w:pStyle w:val="Bullet2"/>
      </w:pPr>
      <w:r>
        <w:t>e</w:t>
      </w:r>
      <w:r w:rsidRPr="00B0496C">
        <w:t>nsure that the quantities of the vaccines delivered are correct.</w:t>
      </w:r>
    </w:p>
    <w:p w:rsidR="00764C37" w:rsidRPr="00B0496C" w:rsidRDefault="00224EB1" w:rsidP="00764C37">
      <w:pPr>
        <w:pStyle w:val="Bullet2"/>
      </w:pPr>
      <w:r>
        <w:t>t</w:t>
      </w:r>
      <w:r w:rsidR="00764C37" w:rsidRPr="00B0496C">
        <w:t xml:space="preserve">ransfer the vaccines to the </w:t>
      </w:r>
      <w:r w:rsidR="00764C37">
        <w:t>refrigerator</w:t>
      </w:r>
      <w:r w:rsidR="00764C37" w:rsidRPr="00B0496C">
        <w:t xml:space="preserve"> immediately.</w:t>
      </w:r>
    </w:p>
    <w:p w:rsidR="00C0638C" w:rsidRPr="00B0496C" w:rsidRDefault="00224EB1" w:rsidP="00224EB1">
      <w:pPr>
        <w:pStyle w:val="Bullet2"/>
      </w:pPr>
      <w:r>
        <w:t>check the e</w:t>
      </w:r>
      <w:r w:rsidR="00C0638C" w:rsidRPr="00B0496C">
        <w:t>xpiry dates of stock.</w:t>
      </w:r>
    </w:p>
    <w:p w:rsidR="00C0638C" w:rsidRDefault="00C0638C" w:rsidP="0063672D">
      <w:pPr>
        <w:pStyle w:val="Bullet1LAST"/>
      </w:pPr>
      <w:r w:rsidRPr="00B0496C">
        <w:t xml:space="preserve">Vaccines are stored in the </w:t>
      </w:r>
      <w:r>
        <w:t>refrigerator</w:t>
      </w:r>
      <w:r w:rsidRPr="00B0496C">
        <w:t xml:space="preserve"> in their original packaging. Removal from original packaging exposes vaccines to room temperature and/or lighting.</w:t>
      </w:r>
    </w:p>
    <w:p w:rsidR="0092461F" w:rsidRPr="00EB1F94" w:rsidRDefault="0092461F" w:rsidP="0092461F">
      <w:pPr>
        <w:pStyle w:val="Style2"/>
      </w:pPr>
      <w:bookmarkStart w:id="22" w:name="_Toc25989803"/>
      <w:bookmarkStart w:id="23" w:name="_Toc25990568"/>
      <w:bookmarkStart w:id="24" w:name="_Toc62960560"/>
      <w:bookmarkStart w:id="25" w:name="_Toc386618956"/>
      <w:bookmarkStart w:id="26" w:name="_Toc386806013"/>
      <w:bookmarkStart w:id="27" w:name="_Toc386806465"/>
      <w:bookmarkStart w:id="28" w:name="_Toc389058921"/>
      <w:bookmarkStart w:id="29" w:name="_Toc409776079"/>
      <w:bookmarkStart w:id="30" w:name="_Toc386618949"/>
      <w:bookmarkStart w:id="31" w:name="_Toc386806006"/>
      <w:bookmarkStart w:id="32" w:name="_Toc386806458"/>
      <w:bookmarkStart w:id="33" w:name="_Toc389058914"/>
      <w:bookmarkStart w:id="34" w:name="_Toc409776073"/>
      <w:r w:rsidRPr="00EB1F94">
        <w:t>Transport of vaccines</w:t>
      </w:r>
      <w:bookmarkEnd w:id="22"/>
      <w:bookmarkEnd w:id="23"/>
      <w:bookmarkEnd w:id="24"/>
      <w:bookmarkEnd w:id="25"/>
      <w:bookmarkEnd w:id="26"/>
      <w:bookmarkEnd w:id="27"/>
      <w:bookmarkEnd w:id="28"/>
      <w:bookmarkEnd w:id="29"/>
    </w:p>
    <w:p w:rsidR="0092461F" w:rsidRDefault="0092461F" w:rsidP="0037711D">
      <w:pPr>
        <w:pStyle w:val="Text"/>
      </w:pPr>
      <w:r>
        <w:t>When transporting vaccines, the nominated person will:</w:t>
      </w:r>
    </w:p>
    <w:p w:rsidR="0092461F" w:rsidRPr="00B0496C" w:rsidRDefault="0092461F" w:rsidP="0092461F">
      <w:pPr>
        <w:pStyle w:val="Bullet1"/>
      </w:pPr>
      <w:r w:rsidRPr="00B0496C">
        <w:t>Pac</w:t>
      </w:r>
      <w:r>
        <w:t>k vaccines in an insulated esky.</w:t>
      </w:r>
    </w:p>
    <w:p w:rsidR="0092461F" w:rsidRPr="009C526E" w:rsidRDefault="0092461F" w:rsidP="0092461F">
      <w:pPr>
        <w:pStyle w:val="Bullet1"/>
      </w:pPr>
      <w:r w:rsidRPr="009C526E">
        <w:t>Wrap the vaccines and thermometer probe in bubble wrap, and place at the bottom of the esky.</w:t>
      </w:r>
    </w:p>
    <w:p w:rsidR="0092461F" w:rsidRPr="002028B8" w:rsidRDefault="0092461F" w:rsidP="0092461F">
      <w:pPr>
        <w:pStyle w:val="Bullet1"/>
      </w:pPr>
      <w:r w:rsidRPr="009C526E">
        <w:t>Place a polystyrene separator on top of the bubble wrap.</w:t>
      </w:r>
    </w:p>
    <w:p w:rsidR="0092461F" w:rsidRDefault="0092461F" w:rsidP="0092461F">
      <w:pPr>
        <w:pStyle w:val="Bullet1"/>
      </w:pPr>
      <w:r w:rsidRPr="009C526E">
        <w:t>Remove freezer blocks from freezer and allow to ‘sweat’ for 5-10 minutes.</w:t>
      </w:r>
    </w:p>
    <w:p w:rsidR="0092461F" w:rsidRPr="009C526E" w:rsidRDefault="0092461F" w:rsidP="0092461F">
      <w:pPr>
        <w:pStyle w:val="Bullet1"/>
      </w:pPr>
      <w:r w:rsidRPr="009C526E">
        <w:t>Place freezer blocks on top of the polystyrene separator.</w:t>
      </w:r>
    </w:p>
    <w:p w:rsidR="0092461F" w:rsidRPr="009C526E" w:rsidRDefault="0092461F" w:rsidP="0092461F">
      <w:pPr>
        <w:pStyle w:val="Bullet1"/>
      </w:pPr>
      <w:r w:rsidRPr="009C526E">
        <w:t>Close lid of esky and seal with tape.</w:t>
      </w:r>
    </w:p>
    <w:p w:rsidR="0092461F" w:rsidRPr="00B0496C" w:rsidRDefault="0092461F" w:rsidP="0092461F">
      <w:pPr>
        <w:pStyle w:val="Bullet1LAST"/>
      </w:pPr>
      <w:r w:rsidRPr="0092461F">
        <w:t>Organise</w:t>
      </w:r>
      <w:r w:rsidRPr="00B0496C">
        <w:t xml:space="preserve"> for the esky to be transported as soon as possible.</w:t>
      </w:r>
    </w:p>
    <w:p w:rsidR="00C0638C" w:rsidRPr="00EB1F94" w:rsidRDefault="00C0638C" w:rsidP="00EB1F94">
      <w:pPr>
        <w:pStyle w:val="Style2"/>
      </w:pPr>
      <w:r w:rsidRPr="00EB1F94">
        <w:t>Vaccine temperature monitoring</w:t>
      </w:r>
      <w:bookmarkEnd w:id="30"/>
      <w:bookmarkEnd w:id="31"/>
      <w:bookmarkEnd w:id="32"/>
      <w:bookmarkEnd w:id="33"/>
      <w:bookmarkEnd w:id="34"/>
    </w:p>
    <w:p w:rsidR="00C0638C" w:rsidRPr="009C526E" w:rsidRDefault="00C0638C" w:rsidP="0063672D">
      <w:pPr>
        <w:pStyle w:val="Bullet1"/>
      </w:pPr>
      <w:r w:rsidRPr="009C526E">
        <w:t xml:space="preserve">The vaccine </w:t>
      </w:r>
      <w:r>
        <w:t>refrigerator</w:t>
      </w:r>
      <w:r w:rsidRPr="009C526E">
        <w:t xml:space="preserve"> has a minimum/maximum digital-type thermometer.</w:t>
      </w:r>
    </w:p>
    <w:p w:rsidR="00C0638C" w:rsidRPr="009C526E" w:rsidRDefault="00C0638C" w:rsidP="0063672D">
      <w:pPr>
        <w:pStyle w:val="Bullet1"/>
      </w:pPr>
      <w:r w:rsidRPr="009C526E">
        <w:t>The thermometer prob</w:t>
      </w:r>
      <w:r>
        <w:t>e is in a vaccine box labelled ‘</w:t>
      </w:r>
      <w:r w:rsidRPr="009C526E">
        <w:t>thermometer</w:t>
      </w:r>
      <w:r>
        <w:t>’</w:t>
      </w:r>
      <w:r w:rsidRPr="009C526E">
        <w:t xml:space="preserve">, next to a vaccine vial and placed in a plastic perforated basket on the middle shelf of the </w:t>
      </w:r>
      <w:r>
        <w:t>refrigerator</w:t>
      </w:r>
      <w:r w:rsidRPr="009C526E">
        <w:t>. This allows the probe to measure the air temperature closest to a vaccine vial.</w:t>
      </w:r>
    </w:p>
    <w:p w:rsidR="00C0638C" w:rsidRPr="009C526E" w:rsidRDefault="00C0638C" w:rsidP="0063672D">
      <w:pPr>
        <w:pStyle w:val="Bullet1"/>
      </w:pPr>
      <w:r w:rsidRPr="009C526E">
        <w:t xml:space="preserve">The vaccine </w:t>
      </w:r>
      <w:r>
        <w:t>refrigerator</w:t>
      </w:r>
      <w:r w:rsidRPr="009C526E">
        <w:t xml:space="preserve"> thermometer minimum and maximum temperature is recorded</w:t>
      </w:r>
      <w:r>
        <w:t xml:space="preserve"> twice daily</w:t>
      </w:r>
      <w:r w:rsidRPr="009C526E">
        <w:t xml:space="preserve"> (preferably at the beginning </w:t>
      </w:r>
      <w:r>
        <w:t xml:space="preserve">and at the end </w:t>
      </w:r>
      <w:r w:rsidRPr="009C526E">
        <w:t xml:space="preserve">of the </w:t>
      </w:r>
      <w:r>
        <w:t>working day</w:t>
      </w:r>
      <w:r w:rsidRPr="009C526E">
        <w:t xml:space="preserve">) in the </w:t>
      </w:r>
      <w:r w:rsidR="00DF08D7" w:rsidRPr="00DF08D7">
        <w:rPr>
          <w:i/>
          <w:color w:val="A0C52D" w:themeColor="accent5"/>
          <w:u w:val="single"/>
        </w:rPr>
        <w:t>VACCINE REFRIGERATOR LOGBOOK</w:t>
      </w:r>
      <w:r w:rsidRPr="009C526E">
        <w:t>.</w:t>
      </w:r>
    </w:p>
    <w:p w:rsidR="00C0638C" w:rsidRPr="009C526E" w:rsidRDefault="00C0638C" w:rsidP="0063672D">
      <w:pPr>
        <w:pStyle w:val="Bullet1"/>
      </w:pPr>
      <w:r w:rsidRPr="009C526E">
        <w:t xml:space="preserve">The vaccine </w:t>
      </w:r>
      <w:r>
        <w:t>refrigerator</w:t>
      </w:r>
      <w:r w:rsidRPr="009C526E">
        <w:t xml:space="preserve"> temperature is maintained at 5</w:t>
      </w:r>
      <w:r w:rsidRPr="009C526E">
        <w:rPr>
          <w:vertAlign w:val="superscript"/>
        </w:rPr>
        <w:t>o</w:t>
      </w:r>
      <w:r w:rsidRPr="009C526E">
        <w:t>C but not less than 2</w:t>
      </w:r>
      <w:r w:rsidRPr="009C526E">
        <w:rPr>
          <w:vertAlign w:val="superscript"/>
        </w:rPr>
        <w:t>o</w:t>
      </w:r>
      <w:r w:rsidRPr="009C526E">
        <w:t>C and not greater than 8</w:t>
      </w:r>
      <w:r w:rsidRPr="009C526E">
        <w:rPr>
          <w:vertAlign w:val="superscript"/>
        </w:rPr>
        <w:t>o</w:t>
      </w:r>
      <w:r w:rsidRPr="009C526E">
        <w:t>C.</w:t>
      </w:r>
    </w:p>
    <w:p w:rsidR="00C0638C" w:rsidRPr="009C526E" w:rsidRDefault="00C0638C" w:rsidP="0063672D">
      <w:pPr>
        <w:pStyle w:val="Bullet1"/>
      </w:pPr>
      <w:r w:rsidRPr="009C526E">
        <w:t xml:space="preserve">An adhesive sticker has been placed over the </w:t>
      </w:r>
      <w:r w:rsidR="00DF08D7">
        <w:t xml:space="preserve">temperature adjusting </w:t>
      </w:r>
      <w:r w:rsidRPr="009C526E">
        <w:t xml:space="preserve">dial instructing staff that only an </w:t>
      </w:r>
      <w:r w:rsidR="00B4612F">
        <w:t>nominated</w:t>
      </w:r>
      <w:r w:rsidRPr="009C526E">
        <w:t xml:space="preserve"> person is able to modify the temperature.</w:t>
      </w:r>
    </w:p>
    <w:p w:rsidR="00C0638C" w:rsidRPr="00B4612F" w:rsidRDefault="00C0638C" w:rsidP="00B4612F">
      <w:pPr>
        <w:pStyle w:val="Bullet1LAST"/>
      </w:pPr>
      <w:r w:rsidRPr="00B4612F">
        <w:t xml:space="preserve">Our practice will regularly audit our vaccine refrigerator to ensure the potency of vaccines. </w:t>
      </w:r>
    </w:p>
    <w:p w:rsidR="00B4612F" w:rsidRPr="002028B8" w:rsidRDefault="00B4612F" w:rsidP="00B4612F">
      <w:pPr>
        <w:pStyle w:val="Style2"/>
      </w:pPr>
      <w:bookmarkStart w:id="35" w:name="_Toc386806459"/>
      <w:bookmarkStart w:id="36" w:name="_Toc389058915"/>
      <w:bookmarkStart w:id="37" w:name="_Toc409776074"/>
      <w:bookmarkEnd w:id="0"/>
      <w:bookmarkEnd w:id="1"/>
      <w:bookmarkEnd w:id="2"/>
      <w:bookmarkEnd w:id="3"/>
      <w:bookmarkEnd w:id="4"/>
      <w:bookmarkEnd w:id="5"/>
      <w:r>
        <w:t>To c</w:t>
      </w:r>
      <w:r w:rsidRPr="002028B8">
        <w:t>heck the accuracy of a thermometer</w:t>
      </w:r>
    </w:p>
    <w:p w:rsidR="00B4612F" w:rsidRPr="0051641E" w:rsidRDefault="00B4612F" w:rsidP="00B4612F">
      <w:pPr>
        <w:pStyle w:val="Bullet1"/>
      </w:pPr>
      <w:r w:rsidRPr="0051641E">
        <w:t>Fill a polystyrene or plastic cup with cold</w:t>
      </w:r>
      <w:r>
        <w:t xml:space="preserve"> tap </w:t>
      </w:r>
      <w:r w:rsidRPr="0051641E">
        <w:t>water.</w:t>
      </w:r>
    </w:p>
    <w:p w:rsidR="00B4612F" w:rsidRDefault="00B4612F" w:rsidP="00B4612F">
      <w:pPr>
        <w:pStyle w:val="Bullet1"/>
      </w:pPr>
      <w:r w:rsidRPr="0051641E">
        <w:t>Place the cup in the</w:t>
      </w:r>
      <w:r>
        <w:t xml:space="preserve"> vaccine</w:t>
      </w:r>
      <w:r w:rsidRPr="0051641E">
        <w:t xml:space="preserve"> refrigerator </w:t>
      </w:r>
      <w:r>
        <w:t xml:space="preserve">and monitor regularly </w:t>
      </w:r>
      <w:r w:rsidRPr="0051641E">
        <w:t>until a fine layer of ice forms on the top and small sections of ice form within the liquid (this may take up to 2½ hours</w:t>
      </w:r>
      <w:r>
        <w:t>)</w:t>
      </w:r>
      <w:r w:rsidRPr="0051641E">
        <w:t xml:space="preserve">. </w:t>
      </w:r>
    </w:p>
    <w:p w:rsidR="00B4612F" w:rsidRDefault="00B4612F" w:rsidP="00B4612F">
      <w:pPr>
        <w:pStyle w:val="Bullet1"/>
      </w:pPr>
      <w:r w:rsidRPr="0051641E">
        <w:t>The presence of ice is an indication that the temperature of the water has reached 0ºC.</w:t>
      </w:r>
    </w:p>
    <w:p w:rsidR="00B4612F" w:rsidRPr="0051641E" w:rsidRDefault="00B4612F" w:rsidP="00B4612F">
      <w:pPr>
        <w:pStyle w:val="Bullet1"/>
      </w:pPr>
      <w:r>
        <w:t>Place the temperature probe into the middle of the container (be careful not to let the probe touch the container).</w:t>
      </w:r>
    </w:p>
    <w:p w:rsidR="00B4612F" w:rsidRPr="00730165" w:rsidRDefault="00B4612F" w:rsidP="00B4612F">
      <w:pPr>
        <w:pStyle w:val="Bullet1"/>
      </w:pPr>
      <w:r w:rsidRPr="00730165">
        <w:t>Observe the temperature on the display screen after two minutes.</w:t>
      </w:r>
    </w:p>
    <w:p w:rsidR="00B4612F" w:rsidRDefault="00B4612F" w:rsidP="00B4612F">
      <w:pPr>
        <w:pStyle w:val="Bullet1"/>
      </w:pPr>
      <w:r w:rsidRPr="00A272D3">
        <w:lastRenderedPageBreak/>
        <w:t xml:space="preserve">The temperature will drop quickly at first and then more slowly. </w:t>
      </w:r>
    </w:p>
    <w:p w:rsidR="00B4612F" w:rsidRPr="00A272D3" w:rsidRDefault="00B4612F" w:rsidP="00B4612F">
      <w:pPr>
        <w:pStyle w:val="Bullet1LAST"/>
      </w:pPr>
      <w:r>
        <w:t>T</w:t>
      </w:r>
      <w:r w:rsidRPr="00A272D3">
        <w:t xml:space="preserve">he temperature should drop to 0ºC within two </w:t>
      </w:r>
      <w:bookmarkStart w:id="38" w:name="_GoBack"/>
      <w:bookmarkEnd w:id="38"/>
      <w:r w:rsidRPr="00A272D3">
        <w:t>minutes.</w:t>
      </w:r>
    </w:p>
    <w:p w:rsidR="00B4612F" w:rsidRDefault="00B4612F" w:rsidP="00B4612F">
      <w:pPr>
        <w:pStyle w:val="Text"/>
      </w:pPr>
      <w:r w:rsidRPr="00A272D3">
        <w:t>An ‘acceptable’ degree of accura</w:t>
      </w:r>
      <w:r w:rsidR="006B4012">
        <w:t>cy of a thermometer can vary eg</w:t>
      </w:r>
      <w:r w:rsidRPr="00A272D3">
        <w:t xml:space="preserve"> to within ±1ºC; check with the organisation that supplied the thermometer for the expected accuracy. Even if the thermometer is considered accurate within ±1º, this check could result in the display screen showing three possible readings: +1ºC, 0ºC, -1ºC. </w:t>
      </w:r>
    </w:p>
    <w:p w:rsidR="00B4612F" w:rsidRPr="00A272D3" w:rsidRDefault="00B4612F" w:rsidP="00B4612F">
      <w:pPr>
        <w:pStyle w:val="Text"/>
      </w:pPr>
      <w:r w:rsidRPr="00A272D3">
        <w:t>Record the results of the accuracy check on the temperature chart. The information becomes important, particularly if the vaccine refrigerator temperature goes outside the recommended range of +2ºC to +8ºC.</w:t>
      </w:r>
    </w:p>
    <w:p w:rsidR="00B4612F" w:rsidRPr="00A272D3" w:rsidRDefault="00B4612F" w:rsidP="00B4612F">
      <w:pPr>
        <w:pStyle w:val="Text"/>
      </w:pPr>
      <w:r w:rsidRPr="00A272D3">
        <w:t>The thermometer must be accurate to ±1ºC or better. If the temperature reading is more than one degree above or below 0ºC at two minutes, replace the battery and test again. If still within range, replace the thermometer.</w:t>
      </w:r>
    </w:p>
    <w:p w:rsidR="0092461F" w:rsidRDefault="0092461F" w:rsidP="0092461F">
      <w:pPr>
        <w:pStyle w:val="Style2"/>
      </w:pPr>
      <w:bookmarkStart w:id="39" w:name="_Toc25989798"/>
      <w:bookmarkStart w:id="40" w:name="_Toc25990563"/>
      <w:bookmarkStart w:id="41" w:name="_Toc62960556"/>
      <w:bookmarkStart w:id="42" w:name="_Toc386618952"/>
      <w:bookmarkStart w:id="43" w:name="_Toc386806009"/>
      <w:bookmarkStart w:id="44" w:name="_Toc386806461"/>
      <w:bookmarkStart w:id="45" w:name="_Toc389058917"/>
      <w:bookmarkStart w:id="46" w:name="_Toc409776076"/>
      <w:r w:rsidRPr="0063672D">
        <w:t>Monitoring the cold chain process</w:t>
      </w:r>
      <w:bookmarkEnd w:id="39"/>
      <w:bookmarkEnd w:id="40"/>
      <w:bookmarkEnd w:id="41"/>
      <w:bookmarkEnd w:id="42"/>
      <w:bookmarkEnd w:id="43"/>
      <w:bookmarkEnd w:id="44"/>
      <w:bookmarkEnd w:id="45"/>
      <w:bookmarkEnd w:id="46"/>
    </w:p>
    <w:p w:rsidR="0092461F" w:rsidRPr="0063672D" w:rsidRDefault="0092461F" w:rsidP="0092461F">
      <w:pPr>
        <w:pStyle w:val="Text"/>
      </w:pPr>
      <w:r>
        <w:t>A cold chain is a series of temperature-controlled storage and distribution activities (also called a ‘supply chain’). An unbroken cold chain is a supply chain that never exceeds or drops below a given temperature range. A cold chain helps to maintain the shelf life and potency of vaccines (RACGP Standards for General Practices, 5</w:t>
      </w:r>
      <w:r w:rsidRPr="005D1739">
        <w:rPr>
          <w:vertAlign w:val="superscript"/>
        </w:rPr>
        <w:t>th</w:t>
      </w:r>
      <w:r>
        <w:t xml:space="preserve"> edition, p. 161).</w:t>
      </w:r>
    </w:p>
    <w:p w:rsidR="0092461F" w:rsidRPr="00B0496C" w:rsidRDefault="0092461F" w:rsidP="0092461F">
      <w:pPr>
        <w:pStyle w:val="Bullet1"/>
      </w:pPr>
      <w:r w:rsidRPr="00B0496C">
        <w:t xml:space="preserve">At the beginning of the working day, check the thermometer of the vaccine </w:t>
      </w:r>
      <w:r>
        <w:t>refrigerator</w:t>
      </w:r>
      <w:r w:rsidRPr="00B0496C">
        <w:t xml:space="preserve">. </w:t>
      </w:r>
    </w:p>
    <w:p w:rsidR="0092461F" w:rsidRPr="00B0496C" w:rsidRDefault="0092461F" w:rsidP="0092461F">
      <w:pPr>
        <w:pStyle w:val="Bullet1"/>
      </w:pPr>
      <w:r w:rsidRPr="00B0496C">
        <w:t xml:space="preserve">Record the date, time and minimum and maximum temperature on the vaccine </w:t>
      </w:r>
      <w:r>
        <w:t>refrigerator</w:t>
      </w:r>
      <w:r w:rsidRPr="00B0496C">
        <w:t xml:space="preserve"> logbook.</w:t>
      </w:r>
    </w:p>
    <w:p w:rsidR="0092461F" w:rsidRPr="00B0496C" w:rsidRDefault="0092461F" w:rsidP="0092461F">
      <w:pPr>
        <w:pStyle w:val="Bullet1"/>
      </w:pPr>
      <w:r w:rsidRPr="00B0496C">
        <w:t>Reset the thermometer.</w:t>
      </w:r>
    </w:p>
    <w:p w:rsidR="0092461F" w:rsidRPr="00B0496C" w:rsidRDefault="0092461F" w:rsidP="0092461F">
      <w:pPr>
        <w:pStyle w:val="Bullet1"/>
      </w:pPr>
      <w:r w:rsidRPr="00B0496C">
        <w:t xml:space="preserve">At the end of the working day, check the thermometer of the vaccine </w:t>
      </w:r>
      <w:r>
        <w:t>refrigerator</w:t>
      </w:r>
      <w:r w:rsidRPr="00B0496C">
        <w:t>.</w:t>
      </w:r>
    </w:p>
    <w:p w:rsidR="0092461F" w:rsidRPr="00B0496C" w:rsidRDefault="0092461F" w:rsidP="0092461F">
      <w:pPr>
        <w:pStyle w:val="Bullet1"/>
      </w:pPr>
      <w:r w:rsidRPr="00B0496C">
        <w:t xml:space="preserve">Record the date, time and minimum and maximum temperature on the vaccine </w:t>
      </w:r>
      <w:r>
        <w:t>refrigerator</w:t>
      </w:r>
      <w:r w:rsidRPr="00B0496C">
        <w:t xml:space="preserve"> logbook.</w:t>
      </w:r>
    </w:p>
    <w:p w:rsidR="0092461F" w:rsidRPr="00B0496C" w:rsidRDefault="0092461F" w:rsidP="0092461F">
      <w:pPr>
        <w:pStyle w:val="Bullet1"/>
      </w:pPr>
      <w:r w:rsidRPr="00B0496C">
        <w:t>Reset the thermometer.</w:t>
      </w:r>
    </w:p>
    <w:p w:rsidR="0092461F" w:rsidRPr="0092461F" w:rsidRDefault="0092461F" w:rsidP="0092461F">
      <w:pPr>
        <w:pStyle w:val="Bullet1LAST"/>
        <w:rPr>
          <w:rStyle w:val="TextChar"/>
        </w:rPr>
      </w:pPr>
      <w:r w:rsidRPr="00B0496C">
        <w:t xml:space="preserve">If the thermometer indicates that the minimum and/or maximum temperature has exceeded the recommended range, refer to </w:t>
      </w:r>
      <w:r w:rsidRPr="0092461F">
        <w:rPr>
          <w:rStyle w:val="TextChar"/>
        </w:rPr>
        <w:t>Refrigerator power failure and to Cold chain failure</w:t>
      </w:r>
      <w:bookmarkStart w:id="47" w:name="_Toc24350796"/>
      <w:bookmarkStart w:id="48" w:name="_Toc25989800"/>
      <w:bookmarkStart w:id="49" w:name="_Toc25990565"/>
      <w:bookmarkStart w:id="50" w:name="_Toc62960557"/>
      <w:bookmarkStart w:id="51" w:name="_Toc386618953"/>
      <w:bookmarkStart w:id="52" w:name="_Toc386806010"/>
      <w:bookmarkStart w:id="53" w:name="_Toc386806462"/>
      <w:bookmarkStart w:id="54" w:name="_Toc389058918"/>
      <w:r w:rsidRPr="0092461F">
        <w:rPr>
          <w:rStyle w:val="TextChar"/>
        </w:rPr>
        <w:t>.</w:t>
      </w:r>
      <w:bookmarkEnd w:id="47"/>
      <w:bookmarkEnd w:id="48"/>
      <w:bookmarkEnd w:id="49"/>
      <w:bookmarkEnd w:id="50"/>
      <w:bookmarkEnd w:id="51"/>
      <w:bookmarkEnd w:id="52"/>
      <w:bookmarkEnd w:id="53"/>
      <w:bookmarkEnd w:id="54"/>
    </w:p>
    <w:p w:rsidR="0092461F" w:rsidRPr="00EB1F94" w:rsidRDefault="0092461F" w:rsidP="0092461F">
      <w:pPr>
        <w:pStyle w:val="Style2"/>
      </w:pPr>
      <w:bookmarkStart w:id="55" w:name="_Toc62960561"/>
      <w:bookmarkStart w:id="56" w:name="_Toc386618957"/>
      <w:bookmarkStart w:id="57" w:name="_Toc386806014"/>
      <w:bookmarkStart w:id="58" w:name="_Toc386806466"/>
      <w:bookmarkStart w:id="59" w:name="_Toc389058922"/>
      <w:bookmarkStart w:id="60" w:name="_Toc409776080"/>
      <w:r w:rsidRPr="00EB1F94">
        <w:t>Refrigerator power failure</w:t>
      </w:r>
      <w:bookmarkEnd w:id="55"/>
      <w:bookmarkEnd w:id="56"/>
      <w:bookmarkEnd w:id="57"/>
      <w:bookmarkEnd w:id="58"/>
      <w:bookmarkEnd w:id="59"/>
      <w:bookmarkEnd w:id="60"/>
    </w:p>
    <w:p w:rsidR="0092461F" w:rsidRPr="0051641E" w:rsidRDefault="0092461F" w:rsidP="0092461F">
      <w:pPr>
        <w:pStyle w:val="Bullet1"/>
      </w:pPr>
      <w:r w:rsidRPr="0051641E">
        <w:t xml:space="preserve">During a power failure of </w:t>
      </w:r>
      <w:r>
        <w:t>four</w:t>
      </w:r>
      <w:r w:rsidRPr="0051641E">
        <w:t xml:space="preserve"> hours or less, and the refrigerator temperature is below 8ºC, keep the vaccine </w:t>
      </w:r>
      <w:r>
        <w:t>refrigerator</w:t>
      </w:r>
      <w:r w:rsidRPr="0051641E">
        <w:t xml:space="preserve"> door closed. Place sign on the refrigerator door stating ‘Power out. Do not use vaccines. Keep refrigerator door closed’.</w:t>
      </w:r>
    </w:p>
    <w:p w:rsidR="0092461F" w:rsidRPr="0051641E" w:rsidRDefault="0092461F" w:rsidP="0092461F">
      <w:pPr>
        <w:pStyle w:val="Bullet1"/>
      </w:pPr>
      <w:r w:rsidRPr="0051641E">
        <w:t>If the pow</w:t>
      </w:r>
      <w:r>
        <w:t>er failure lasts for more than four</w:t>
      </w:r>
      <w:r w:rsidRPr="0051641E">
        <w:t xml:space="preserve"> hours, or the temperature of the refrigerator rises above 8ºC, store vaccines in an insulated esky:</w:t>
      </w:r>
    </w:p>
    <w:p w:rsidR="0092461F" w:rsidRPr="009C526E" w:rsidRDefault="0092461F" w:rsidP="0092461F">
      <w:pPr>
        <w:pStyle w:val="Bullet2"/>
      </w:pPr>
      <w:r w:rsidRPr="009C526E">
        <w:t>Wrap the vaccines and thermometer probe in bubble wrap, and place at the bottom of the esky.</w:t>
      </w:r>
    </w:p>
    <w:p w:rsidR="0092461F" w:rsidRPr="009C526E" w:rsidRDefault="0092461F" w:rsidP="0092461F">
      <w:pPr>
        <w:pStyle w:val="Bullet2"/>
      </w:pPr>
      <w:r w:rsidRPr="009C526E">
        <w:t>Place a polystyrene separator on top of the bubble wrap.</w:t>
      </w:r>
    </w:p>
    <w:p w:rsidR="0092461F" w:rsidRPr="009C526E" w:rsidRDefault="0092461F" w:rsidP="0092461F">
      <w:pPr>
        <w:pStyle w:val="Bullet2"/>
      </w:pPr>
      <w:r w:rsidRPr="009C526E">
        <w:t>Remove freezer blocks from freezer and allow to ‘sweat’ for 5-10 minutes.</w:t>
      </w:r>
    </w:p>
    <w:p w:rsidR="0092461F" w:rsidRPr="009C526E" w:rsidRDefault="0092461F" w:rsidP="0092461F">
      <w:pPr>
        <w:pStyle w:val="Bullet2"/>
      </w:pPr>
      <w:r w:rsidRPr="009C526E">
        <w:t>Place freezer blocks on top of the polystyrene separator.</w:t>
      </w:r>
    </w:p>
    <w:p w:rsidR="0092461F" w:rsidRPr="009C526E" w:rsidRDefault="0092461F" w:rsidP="0092461F">
      <w:pPr>
        <w:pStyle w:val="Bullet2"/>
      </w:pPr>
      <w:r w:rsidRPr="009C526E">
        <w:t>Ensure that the esky is packed in such a way that the freezer blocks do not come into direct contact with the vaccines.</w:t>
      </w:r>
    </w:p>
    <w:p w:rsidR="0092461F" w:rsidRPr="009C526E" w:rsidRDefault="0092461F" w:rsidP="0092461F">
      <w:pPr>
        <w:pStyle w:val="Bullet2LAST"/>
      </w:pPr>
      <w:r w:rsidRPr="009C526E">
        <w:t>Close lid of esky and seal with tape.</w:t>
      </w:r>
    </w:p>
    <w:p w:rsidR="0092461F" w:rsidRPr="0051641E" w:rsidRDefault="0092461F" w:rsidP="0092461F">
      <w:pPr>
        <w:pStyle w:val="Bullet1"/>
      </w:pPr>
      <w:r w:rsidRPr="0051641E">
        <w:t>Monitor the esky hourly to ensure vaccines are stored between 2</w:t>
      </w:r>
      <w:r w:rsidRPr="0051641E">
        <w:rPr>
          <w:vertAlign w:val="superscript"/>
        </w:rPr>
        <w:t>o</w:t>
      </w:r>
      <w:r w:rsidRPr="0051641E">
        <w:t>C-8</w:t>
      </w:r>
      <w:r w:rsidRPr="0051641E">
        <w:rPr>
          <w:vertAlign w:val="superscript"/>
        </w:rPr>
        <w:t>o</w:t>
      </w:r>
      <w:r w:rsidRPr="0051641E">
        <w:t>C.</w:t>
      </w:r>
      <w:bookmarkStart w:id="61" w:name="_Toc25989805"/>
      <w:bookmarkStart w:id="62" w:name="_Toc25990570"/>
      <w:bookmarkStart w:id="63" w:name="_Toc62960562"/>
      <w:r w:rsidRPr="0051641E">
        <w:t xml:space="preserve"> </w:t>
      </w:r>
    </w:p>
    <w:p w:rsidR="0092461F" w:rsidRPr="0051641E" w:rsidRDefault="0092461F" w:rsidP="0092461F">
      <w:pPr>
        <w:pStyle w:val="Bullet1LAST"/>
      </w:pPr>
      <w:r w:rsidRPr="0051641E">
        <w:t>Take into consideration that the esky would be unlikely to preserve the vaccines for longer than 8 hours, and less in extreme heat.</w:t>
      </w:r>
    </w:p>
    <w:bookmarkEnd w:id="61"/>
    <w:bookmarkEnd w:id="62"/>
    <w:bookmarkEnd w:id="63"/>
    <w:p w:rsidR="00C0638C" w:rsidRPr="00EB1F94" w:rsidRDefault="00C0638C" w:rsidP="00EB1F94">
      <w:pPr>
        <w:pStyle w:val="Style2"/>
      </w:pPr>
      <w:r w:rsidRPr="00EB1F94">
        <w:t>Vaccine refrigerator maintenance</w:t>
      </w:r>
      <w:bookmarkEnd w:id="35"/>
      <w:bookmarkEnd w:id="36"/>
      <w:bookmarkEnd w:id="37"/>
    </w:p>
    <w:p w:rsidR="00C0638C" w:rsidRPr="00DF08D7" w:rsidRDefault="00C0638C" w:rsidP="00DF08D7">
      <w:pPr>
        <w:pStyle w:val="Bullet1"/>
      </w:pPr>
      <w:r w:rsidRPr="00DF08D7">
        <w:t>The vaccine refrigerator is a ‘frost free’ model (but not cyclic or multi-flow defrost) model.</w:t>
      </w:r>
    </w:p>
    <w:p w:rsidR="00C0638C" w:rsidRPr="00DF08D7" w:rsidRDefault="00C0638C" w:rsidP="00DF08D7">
      <w:pPr>
        <w:pStyle w:val="Bullet1"/>
      </w:pPr>
      <w:r w:rsidRPr="00DF08D7">
        <w:t>The vaccine refrigerator is large enough to accommodate the vaccines stored in our practice through the year (please take into account busy periods such as the influenza vaccination period).</w:t>
      </w:r>
    </w:p>
    <w:p w:rsidR="00C0638C" w:rsidRPr="00DF08D7" w:rsidRDefault="00C0638C" w:rsidP="00DF08D7">
      <w:pPr>
        <w:pStyle w:val="Bullet1"/>
      </w:pPr>
      <w:r w:rsidRPr="00DF08D7">
        <w:t>Vaccines are stored in an alternative refrigerator or insulated container with freezer blocks when defrosting the vaccine refrigerator.</w:t>
      </w:r>
    </w:p>
    <w:p w:rsidR="00C0638C" w:rsidRPr="00DF08D7" w:rsidRDefault="00C0638C" w:rsidP="00DF08D7">
      <w:pPr>
        <w:pStyle w:val="Bullet1"/>
      </w:pPr>
      <w:r w:rsidRPr="00DF08D7">
        <w:t>The refrigerator is in an area where it does not receive direct sunlight.</w:t>
      </w:r>
    </w:p>
    <w:p w:rsidR="00C0638C" w:rsidRPr="00DF08D7" w:rsidRDefault="00C0638C" w:rsidP="00DF08D7">
      <w:pPr>
        <w:pStyle w:val="Bullet1"/>
      </w:pPr>
      <w:r w:rsidRPr="00DF08D7">
        <w:t>There is a 10cm space around the refrigerator to allow ventilation.</w:t>
      </w:r>
    </w:p>
    <w:p w:rsidR="00C0638C" w:rsidRPr="00DF08D7" w:rsidRDefault="00C0638C" w:rsidP="00DF08D7">
      <w:pPr>
        <w:pStyle w:val="Bullet1"/>
      </w:pPr>
      <w:r w:rsidRPr="00DF08D7">
        <w:lastRenderedPageBreak/>
        <w:t xml:space="preserve">The vaccine refrigerator has a secure power source. For example, an uninterruptible power supply (UPS) in case of electricity failure.  </w:t>
      </w:r>
    </w:p>
    <w:p w:rsidR="00C0638C" w:rsidRPr="00DF08D7" w:rsidRDefault="00C0638C" w:rsidP="00DF08D7">
      <w:pPr>
        <w:pStyle w:val="Bullet1LAST"/>
      </w:pPr>
      <w:r w:rsidRPr="00DF08D7">
        <w:t>There is a sticker placed above the power source warning people to not unplug or turn the power off, or the electricity plug is taped to the socket and is switched to the ‘on’ position.</w:t>
      </w:r>
      <w:bookmarkStart w:id="64" w:name="_Toc25989799"/>
      <w:bookmarkStart w:id="65" w:name="_Toc25990564"/>
      <w:bookmarkStart w:id="66" w:name="_Toc62960555"/>
      <w:bookmarkStart w:id="67" w:name="_Toc386618951"/>
      <w:bookmarkStart w:id="68" w:name="_Toc386806008"/>
      <w:bookmarkStart w:id="69" w:name="_Toc386806460"/>
      <w:bookmarkStart w:id="70" w:name="_Toc389058916"/>
    </w:p>
    <w:p w:rsidR="00C0638C" w:rsidRPr="00EB1F94" w:rsidRDefault="00C0638C" w:rsidP="00EB1F94">
      <w:pPr>
        <w:pStyle w:val="Style2"/>
      </w:pPr>
      <w:bookmarkStart w:id="71" w:name="_Toc386618954"/>
      <w:bookmarkStart w:id="72" w:name="_Toc386806011"/>
      <w:bookmarkStart w:id="73" w:name="_Toc386806463"/>
      <w:bookmarkStart w:id="74" w:name="_Toc389058919"/>
      <w:bookmarkStart w:id="75" w:name="_Toc409776077"/>
      <w:bookmarkEnd w:id="64"/>
      <w:bookmarkEnd w:id="65"/>
      <w:bookmarkEnd w:id="66"/>
      <w:bookmarkEnd w:id="67"/>
      <w:bookmarkEnd w:id="68"/>
      <w:bookmarkEnd w:id="69"/>
      <w:bookmarkEnd w:id="70"/>
      <w:r w:rsidRPr="00EB1F94">
        <w:t>Maintenance of the vaccine refrigerator</w:t>
      </w:r>
      <w:bookmarkEnd w:id="71"/>
      <w:bookmarkEnd w:id="72"/>
      <w:bookmarkEnd w:id="73"/>
      <w:bookmarkEnd w:id="74"/>
      <w:bookmarkEnd w:id="75"/>
    </w:p>
    <w:p w:rsidR="00764C37" w:rsidRPr="00B0496C" w:rsidRDefault="00764C37" w:rsidP="0037711D">
      <w:pPr>
        <w:pStyle w:val="Bullet1"/>
      </w:pPr>
      <w:r>
        <w:t xml:space="preserve">Our vaccine refrigerator is maintained according to manufacturer instructions and undergoes regular calibration. </w:t>
      </w:r>
      <w:r w:rsidRPr="00B0496C">
        <w:t>Inspections may need to occur more frequently as the refrigerator ages.</w:t>
      </w:r>
    </w:p>
    <w:p w:rsidR="00C0638C" w:rsidRPr="00B0496C" w:rsidRDefault="00764C37" w:rsidP="0037711D">
      <w:pPr>
        <w:pStyle w:val="Bullet1"/>
      </w:pPr>
      <w:r>
        <w:t>Suspicion of, or known b</w:t>
      </w:r>
      <w:r w:rsidR="00C0638C" w:rsidRPr="00B0496C">
        <w:t xml:space="preserve">reakdowns </w:t>
      </w:r>
      <w:r>
        <w:t xml:space="preserve">are </w:t>
      </w:r>
      <w:r w:rsidR="00C0638C" w:rsidRPr="00B0496C">
        <w:t>to the nominated staff member</w:t>
      </w:r>
      <w:r w:rsidR="00B87742">
        <w:t>,</w:t>
      </w:r>
      <w:r w:rsidR="00C0638C" w:rsidRPr="00B0496C">
        <w:t xml:space="preserve"> </w:t>
      </w:r>
      <w:r w:rsidR="00C0638C" w:rsidRPr="00191DDA">
        <w:rPr>
          <w:rStyle w:val="PracticedetailsChar"/>
          <w:szCs w:val="20"/>
        </w:rPr>
        <w:t>&lt;insert name&gt;</w:t>
      </w:r>
      <w:r w:rsidR="00B87742" w:rsidRPr="00191DDA">
        <w:rPr>
          <w:rStyle w:val="PracticedetailsChar"/>
          <w:szCs w:val="20"/>
          <w:u w:val="none"/>
        </w:rPr>
        <w:t xml:space="preserve">, </w:t>
      </w:r>
      <w:r w:rsidR="00C0638C" w:rsidRPr="00B87742">
        <w:t>i</w:t>
      </w:r>
      <w:r w:rsidR="00C0638C" w:rsidRPr="00B0496C">
        <w:t xml:space="preserve">mmediately so that </w:t>
      </w:r>
      <w:r>
        <w:t xml:space="preserve">cold chain can be maintained and </w:t>
      </w:r>
      <w:r w:rsidR="00C0638C" w:rsidRPr="00B0496C">
        <w:t>repairs can be made.</w:t>
      </w:r>
    </w:p>
    <w:p w:rsidR="00C0638C" w:rsidRPr="00B0496C" w:rsidRDefault="00764C37" w:rsidP="0037711D">
      <w:pPr>
        <w:pStyle w:val="Bullet1"/>
      </w:pPr>
      <w:r>
        <w:t>We</w:t>
      </w:r>
      <w:r w:rsidR="00C0638C" w:rsidRPr="00B0496C">
        <w:t xml:space="preserve"> check refrigerator seals to ensure cold air cannot leak out. If the seals are brittle or torn, arrange for replacement.</w:t>
      </w:r>
    </w:p>
    <w:p w:rsidR="00C0638C" w:rsidRPr="00B0496C" w:rsidRDefault="00764C37" w:rsidP="0037711D">
      <w:pPr>
        <w:pStyle w:val="Bullet1"/>
      </w:pPr>
      <w:r>
        <w:t>We e</w:t>
      </w:r>
      <w:r w:rsidR="00C0638C" w:rsidRPr="00B0496C">
        <w:t xml:space="preserve">nsure the area around the vaccine </w:t>
      </w:r>
      <w:r w:rsidR="00C0638C">
        <w:t>refrigerator</w:t>
      </w:r>
      <w:r w:rsidR="00C0638C" w:rsidRPr="00B0496C">
        <w:t xml:space="preserve"> (including behind and under) is clean and dust free.</w:t>
      </w:r>
    </w:p>
    <w:p w:rsidR="00764C37" w:rsidRDefault="00764C37" w:rsidP="00970D99">
      <w:pPr>
        <w:pStyle w:val="Textbold"/>
      </w:pPr>
      <w:bookmarkStart w:id="76" w:name="_Toc402270176"/>
      <w:bookmarkStart w:id="77" w:name="_Toc402446472"/>
    </w:p>
    <w:p w:rsidR="007A6AB8" w:rsidRPr="00036E83" w:rsidRDefault="007A6AB8" w:rsidP="00970D99">
      <w:pPr>
        <w:pStyle w:val="Textbold"/>
        <w:rPr>
          <w:color w:val="auto"/>
        </w:rPr>
      </w:pPr>
      <w:r w:rsidRPr="00036E83">
        <w:rPr>
          <w:color w:val="auto"/>
        </w:rPr>
        <w:t xml:space="preserve">See also </w:t>
      </w:r>
    </w:p>
    <w:p w:rsidR="007A6AB8" w:rsidRDefault="007A6AB8" w:rsidP="007A6AB8">
      <w:pPr>
        <w:pStyle w:val="Locationofrelatedpolicyorprocedure"/>
      </w:pPr>
      <w:r>
        <w:t>Practice staff meeting policies and procedures</w:t>
      </w:r>
    </w:p>
    <w:p w:rsidR="002028B8" w:rsidRDefault="002028B8" w:rsidP="0063672D">
      <w:pPr>
        <w:pStyle w:val="Text"/>
      </w:pPr>
      <w:r>
        <w:br w:type="page"/>
      </w:r>
    </w:p>
    <w:p w:rsidR="00846CC9" w:rsidRPr="00036E83" w:rsidRDefault="002B56CC" w:rsidP="00322F94">
      <w:pPr>
        <w:pStyle w:val="Sub-heading"/>
        <w:jc w:val="left"/>
        <w:rPr>
          <w:color w:val="auto"/>
        </w:rPr>
      </w:pPr>
      <w:r w:rsidRPr="00036E83">
        <w:rPr>
          <w:color w:val="auto"/>
        </w:rPr>
        <w:lastRenderedPageBreak/>
        <w:t xml:space="preserve">Position description: Nominated person responsible for cold chain management and vaccine storage </w:t>
      </w:r>
    </w:p>
    <w:p w:rsidR="00846CC9" w:rsidRPr="002B56CC" w:rsidRDefault="00846CC9" w:rsidP="002B56CC">
      <w:pPr>
        <w:pStyle w:val="Text"/>
      </w:pPr>
      <w:r w:rsidRPr="002B56CC">
        <w:t>Responsible for:</w:t>
      </w:r>
    </w:p>
    <w:p w:rsidR="00846CC9" w:rsidRPr="00E226D0" w:rsidRDefault="00846CC9" w:rsidP="002B56CC">
      <w:pPr>
        <w:pStyle w:val="Bullet1"/>
      </w:pPr>
      <w:r>
        <w:t>Monitoring cold chain practis</w:t>
      </w:r>
      <w:r w:rsidRPr="00E226D0">
        <w:t xml:space="preserve">es as per </w:t>
      </w:r>
      <w:r w:rsidR="002B56CC">
        <w:t xml:space="preserve">the practice polices, procedures and the </w:t>
      </w:r>
      <w:r w:rsidR="002B56CC" w:rsidRPr="002B56CC">
        <w:rPr>
          <w:i/>
        </w:rPr>
        <w:t>National vaccine storage guidelines: Strive for 5.</w:t>
      </w:r>
    </w:p>
    <w:p w:rsidR="00846CC9" w:rsidRPr="00E226D0" w:rsidRDefault="00846CC9" w:rsidP="002B56CC">
      <w:pPr>
        <w:pStyle w:val="Bullet1"/>
      </w:pPr>
      <w:r w:rsidRPr="00E226D0">
        <w:t>Ensuring all vaccines and biologics are handled correctly and procedures are documented.</w:t>
      </w:r>
    </w:p>
    <w:p w:rsidR="00846CC9" w:rsidRPr="00E226D0" w:rsidRDefault="00846CC9" w:rsidP="002B56CC">
      <w:pPr>
        <w:pStyle w:val="Bullet1"/>
      </w:pPr>
      <w:r>
        <w:t>Ensuring</w:t>
      </w:r>
      <w:r w:rsidRPr="00E226D0">
        <w:t xml:space="preserve"> that vaccines and biologics storage and handling protocols are up</w:t>
      </w:r>
      <w:r>
        <w:t>-</w:t>
      </w:r>
      <w:r w:rsidRPr="00E226D0">
        <w:t>to</w:t>
      </w:r>
      <w:r>
        <w:t>-</w:t>
      </w:r>
      <w:r w:rsidRPr="00E226D0">
        <w:t>date, in a binder near or attached to the refrigerator.</w:t>
      </w:r>
    </w:p>
    <w:p w:rsidR="00846CC9" w:rsidRPr="00E226D0" w:rsidRDefault="00846CC9" w:rsidP="002B56CC">
      <w:pPr>
        <w:pStyle w:val="Bullet1"/>
      </w:pPr>
      <w:r>
        <w:t>Ensuring</w:t>
      </w:r>
      <w:r w:rsidRPr="00E226D0">
        <w:t xml:space="preserve"> rescue and transport supplies (coolers, freezer packs, flashlight, protocols, etc) are in close vicinity of the refrigerator.</w:t>
      </w:r>
    </w:p>
    <w:p w:rsidR="00846CC9" w:rsidRPr="00E226D0" w:rsidRDefault="00846CC9" w:rsidP="002B56CC">
      <w:pPr>
        <w:pStyle w:val="Bullet1"/>
      </w:pPr>
      <w:r w:rsidRPr="00E226D0">
        <w:t>Keep</w:t>
      </w:r>
      <w:r>
        <w:t>ing</w:t>
      </w:r>
      <w:r w:rsidR="002B56CC">
        <w:t xml:space="preserve"> and maintaining</w:t>
      </w:r>
      <w:r w:rsidRPr="00E226D0">
        <w:t xml:space="preserve"> </w:t>
      </w:r>
      <w:r w:rsidR="002B56CC">
        <w:t>a c</w:t>
      </w:r>
      <w:r w:rsidRPr="00E226D0">
        <w:t>ontact</w:t>
      </w:r>
      <w:r w:rsidR="002B56CC">
        <w:t xml:space="preserve"> l</w:t>
      </w:r>
      <w:r w:rsidRPr="00E226D0">
        <w:t xml:space="preserve">ist </w:t>
      </w:r>
      <w:r>
        <w:t xml:space="preserve">of suppliers, manufactures and government departments relating to vaccines and cold chain processes </w:t>
      </w:r>
      <w:r w:rsidRPr="00E226D0">
        <w:t>updated.</w:t>
      </w:r>
    </w:p>
    <w:p w:rsidR="00846CC9" w:rsidRPr="00E226D0" w:rsidRDefault="00846CC9" w:rsidP="002B56CC">
      <w:pPr>
        <w:pStyle w:val="Bullet1"/>
      </w:pPr>
      <w:r w:rsidRPr="00E226D0">
        <w:t>Review</w:t>
      </w:r>
      <w:r>
        <w:t>ing and recording the temperature of the refrigerator in</w:t>
      </w:r>
      <w:r w:rsidRPr="00E226D0">
        <w:t xml:space="preserve"> the </w:t>
      </w:r>
      <w:r w:rsidR="002B56CC" w:rsidRPr="002B56CC">
        <w:rPr>
          <w:i/>
          <w:color w:val="A0C52D" w:themeColor="accent5"/>
          <w:u w:val="single"/>
        </w:rPr>
        <w:t>VACCINE REFRIGERATOR LOGBOOK</w:t>
      </w:r>
      <w:r w:rsidR="002B56CC">
        <w:t xml:space="preserve"> </w:t>
      </w:r>
      <w:r w:rsidRPr="00E226D0">
        <w:t>and biologics twice daily.</w:t>
      </w:r>
    </w:p>
    <w:p w:rsidR="00846CC9" w:rsidRPr="00E226D0" w:rsidRDefault="00846CC9" w:rsidP="002B56CC">
      <w:pPr>
        <w:pStyle w:val="Bullet1"/>
      </w:pPr>
      <w:r w:rsidRPr="00E226D0">
        <w:t>Follow</w:t>
      </w:r>
      <w:r>
        <w:t>ing</w:t>
      </w:r>
      <w:r w:rsidRPr="00E226D0">
        <w:t xml:space="preserve"> up on recommended actions following a cold chain failure.</w:t>
      </w:r>
    </w:p>
    <w:p w:rsidR="00846CC9" w:rsidRPr="00E226D0" w:rsidRDefault="00846CC9" w:rsidP="002B56CC">
      <w:pPr>
        <w:pStyle w:val="Bullet1"/>
      </w:pPr>
      <w:r w:rsidRPr="00E226D0">
        <w:t>Order</w:t>
      </w:r>
      <w:r>
        <w:t>ing</w:t>
      </w:r>
      <w:r w:rsidRPr="00E226D0">
        <w:t xml:space="preserve"> vaccines and biologics stock.</w:t>
      </w:r>
    </w:p>
    <w:p w:rsidR="00846CC9" w:rsidRDefault="00846CC9" w:rsidP="002B56CC">
      <w:pPr>
        <w:pStyle w:val="Bullet1"/>
      </w:pPr>
      <w:r w:rsidRPr="00E226D0">
        <w:t>Receivi</w:t>
      </w:r>
      <w:r>
        <w:t xml:space="preserve">ng and checking expiry dates of </w:t>
      </w:r>
      <w:r w:rsidRPr="00E226D0">
        <w:t>the vaccines and biologics deliveries.</w:t>
      </w:r>
    </w:p>
    <w:p w:rsidR="00846CC9" w:rsidRPr="00E226D0" w:rsidRDefault="00846CC9" w:rsidP="002B56CC">
      <w:pPr>
        <w:pStyle w:val="Bullet1"/>
      </w:pPr>
      <w:r>
        <w:t>Recording date, numbers of vaccines received, vaccine types and batch numbers in the Vaccine Log.</w:t>
      </w:r>
    </w:p>
    <w:p w:rsidR="00846CC9" w:rsidRPr="00E226D0" w:rsidRDefault="00846CC9" w:rsidP="002B56CC">
      <w:pPr>
        <w:pStyle w:val="Bullet1"/>
      </w:pPr>
      <w:r>
        <w:t>Rotating</w:t>
      </w:r>
      <w:r w:rsidRPr="00E226D0">
        <w:t xml:space="preserve"> stock.</w:t>
      </w:r>
    </w:p>
    <w:p w:rsidR="00846CC9" w:rsidRPr="00E226D0" w:rsidRDefault="00846CC9" w:rsidP="002B56CC">
      <w:pPr>
        <w:pStyle w:val="Bullet1"/>
      </w:pPr>
      <w:r>
        <w:t>Completing</w:t>
      </w:r>
      <w:r w:rsidRPr="00E226D0">
        <w:t xml:space="preserve"> monthly inventory counts and checks.</w:t>
      </w:r>
    </w:p>
    <w:p w:rsidR="00846CC9" w:rsidRDefault="00846CC9" w:rsidP="002B56CC">
      <w:pPr>
        <w:pStyle w:val="Bullet1"/>
      </w:pPr>
      <w:r>
        <w:t>Arranging</w:t>
      </w:r>
      <w:r w:rsidRPr="00E226D0">
        <w:t xml:space="preserve"> maintenance as per refrigerator</w:t>
      </w:r>
      <w:r>
        <w:t>’</w:t>
      </w:r>
      <w:r w:rsidRPr="00E226D0">
        <w:t>s</w:t>
      </w:r>
      <w:r>
        <w:t xml:space="preserve"> recommended guidelines (at least every 12 months).</w:t>
      </w:r>
    </w:p>
    <w:p w:rsidR="00846CC9" w:rsidRDefault="00846CC9" w:rsidP="002B56CC">
      <w:pPr>
        <w:pStyle w:val="Bullet1"/>
      </w:pPr>
      <w:r>
        <w:t>Changing the logger and thermometer batteries</w:t>
      </w:r>
      <w:r w:rsidR="000C2B30">
        <w:t xml:space="preserve"> (</w:t>
      </w:r>
      <w:r>
        <w:t>at least every 12 months</w:t>
      </w:r>
      <w:r w:rsidR="000C2B30">
        <w:t>)</w:t>
      </w:r>
      <w:r>
        <w:t>.</w:t>
      </w:r>
    </w:p>
    <w:p w:rsidR="00846CC9" w:rsidRDefault="00846CC9" w:rsidP="002B56CC">
      <w:pPr>
        <w:pStyle w:val="Bullet1"/>
      </w:pPr>
      <w:r>
        <w:t>Cleaning the vaccine refrigerator.</w:t>
      </w:r>
    </w:p>
    <w:p w:rsidR="00846CC9" w:rsidRDefault="00846CC9" w:rsidP="002B56CC">
      <w:pPr>
        <w:pStyle w:val="Bullet1"/>
      </w:pPr>
      <w:r>
        <w:t>Conducting an annual check on the thermometers/data logger.</w:t>
      </w:r>
    </w:p>
    <w:p w:rsidR="00846CC9" w:rsidRDefault="00846CC9" w:rsidP="002B56CC">
      <w:pPr>
        <w:pStyle w:val="Bullet1"/>
      </w:pPr>
      <w:r>
        <w:t>Conducting annual self-audit of cold chain management processes and vaccine storage procedures.</w:t>
      </w:r>
    </w:p>
    <w:p w:rsidR="00846CC9" w:rsidRDefault="00846CC9" w:rsidP="002B56CC">
      <w:pPr>
        <w:pStyle w:val="Bullet1"/>
      </w:pPr>
      <w:r>
        <w:t xml:space="preserve">Keeping up-to-date with changes to the West Australian Immunisation Schedule and </w:t>
      </w:r>
      <w:r w:rsidR="002B56CC">
        <w:t xml:space="preserve">the </w:t>
      </w:r>
      <w:r w:rsidRPr="00435FAD">
        <w:rPr>
          <w:i/>
        </w:rPr>
        <w:t>National Vaccine Storage Guidelines: Strive for 5</w:t>
      </w:r>
      <w:r>
        <w:t>.</w:t>
      </w:r>
    </w:p>
    <w:p w:rsidR="00846CC9" w:rsidRDefault="00846CC9" w:rsidP="002B56CC">
      <w:pPr>
        <w:pStyle w:val="Bullet1"/>
      </w:pPr>
      <w:r>
        <w:t xml:space="preserve">Undertaking ongoing education that is relevant to the job description (subject to </w:t>
      </w:r>
      <w:r w:rsidR="002B56CC">
        <w:t xml:space="preserve">prior </w:t>
      </w:r>
      <w:r>
        <w:t>approval from the practice manager).</w:t>
      </w:r>
    </w:p>
    <w:p w:rsidR="00846CC9" w:rsidRPr="00E226D0" w:rsidRDefault="00846CC9" w:rsidP="002B56CC">
      <w:pPr>
        <w:pStyle w:val="Bullet1"/>
      </w:pPr>
      <w:r>
        <w:t>Providing an information session on vaccines and cold chain policies and procedures to all new staff; reporting any updates at staff meetings and providing annual refresher sessions on cold chain processes.</w:t>
      </w:r>
    </w:p>
    <w:p w:rsidR="00C0638C" w:rsidRDefault="002028B8" w:rsidP="00970D99">
      <w:pPr>
        <w:pStyle w:val="Heading"/>
        <w:rPr>
          <w:noProof/>
        </w:rPr>
      </w:pPr>
      <w:r>
        <w:rPr>
          <w:noProof/>
        </w:rPr>
        <w:br w:type="page"/>
      </w:r>
    </w:p>
    <w:p w:rsidR="00C0638C" w:rsidRPr="00036E83" w:rsidRDefault="00C0638C" w:rsidP="002B56CC">
      <w:pPr>
        <w:pStyle w:val="Sub-heading"/>
        <w:rPr>
          <w:color w:val="auto"/>
        </w:rPr>
      </w:pPr>
      <w:r w:rsidRPr="00036E83">
        <w:rPr>
          <w:color w:val="auto"/>
        </w:rPr>
        <w:lastRenderedPageBreak/>
        <w:t>Vaccine storage annual self-audit</w:t>
      </w:r>
      <w:r w:rsidRPr="00036E83">
        <w:rPr>
          <w:color w:val="auto"/>
        </w:rPr>
        <w:tab/>
      </w:r>
      <w:r w:rsidRPr="00036E83">
        <w:rPr>
          <w:color w:val="auto"/>
        </w:rPr>
        <w:tab/>
      </w:r>
    </w:p>
    <w:p w:rsidR="00C0638C" w:rsidRPr="00C774B7" w:rsidRDefault="009836E0" w:rsidP="002B56CC">
      <w:pPr>
        <w:pStyle w:val="Text"/>
        <w:rPr>
          <w:snapToGrid w:val="0"/>
        </w:rPr>
      </w:pPr>
      <w:r>
        <w:rPr>
          <w:snapToGrid w:val="0"/>
        </w:rPr>
        <w:t xml:space="preserve">Our practice will conduct a </w:t>
      </w:r>
      <w:r w:rsidR="00C0638C" w:rsidRPr="00C774B7">
        <w:rPr>
          <w:snapToGrid w:val="0"/>
        </w:rPr>
        <w:t>self-audit at least once every 12 months, and more frequently where there have been problems with equipment</w:t>
      </w:r>
      <w:r w:rsidR="00322F94">
        <w:rPr>
          <w:snapToGrid w:val="0"/>
        </w:rPr>
        <w:t xml:space="preserve"> and where there has been a suspected, near miss</w:t>
      </w:r>
      <w:r w:rsidR="00C0638C" w:rsidRPr="00C774B7">
        <w:rPr>
          <w:snapToGrid w:val="0"/>
        </w:rPr>
        <w:t xml:space="preserve"> or </w:t>
      </w:r>
      <w:r w:rsidR="00322F94">
        <w:rPr>
          <w:snapToGrid w:val="0"/>
        </w:rPr>
        <w:t>actual cold chain breach</w:t>
      </w:r>
      <w:r w:rsidR="00C0638C" w:rsidRPr="00C774B7">
        <w:rPr>
          <w:snapToGrid w:val="0"/>
        </w:rPr>
        <w:t>.</w:t>
      </w:r>
    </w:p>
    <w:p w:rsidR="00C0638C" w:rsidRPr="00C774B7" w:rsidRDefault="00C0638C" w:rsidP="002B56CC">
      <w:pPr>
        <w:pStyle w:val="Text"/>
        <w:rPr>
          <w:snapToGrid w:val="0"/>
        </w:rPr>
      </w:pPr>
      <w:r w:rsidRPr="00C774B7">
        <w:rPr>
          <w:snapToGrid w:val="0"/>
        </w:rPr>
        <w:t>Self-auditing is important because:</w:t>
      </w:r>
    </w:p>
    <w:p w:rsidR="00C0638C" w:rsidRPr="00C774B7" w:rsidRDefault="00C0638C" w:rsidP="002B56CC">
      <w:pPr>
        <w:pStyle w:val="Bullet1"/>
        <w:rPr>
          <w:snapToGrid w:val="0"/>
        </w:rPr>
      </w:pPr>
      <w:r w:rsidRPr="00C774B7">
        <w:rPr>
          <w:snapToGrid w:val="0"/>
        </w:rPr>
        <w:t>It is part of routine quality assurance and risk management processes</w:t>
      </w:r>
    </w:p>
    <w:p w:rsidR="00C0638C" w:rsidRPr="00C774B7" w:rsidRDefault="00C0638C" w:rsidP="002B56CC">
      <w:pPr>
        <w:pStyle w:val="Bullet1LAST"/>
        <w:rPr>
          <w:snapToGrid w:val="0"/>
        </w:rPr>
      </w:pPr>
      <w:r w:rsidRPr="00C774B7">
        <w:rPr>
          <w:snapToGrid w:val="0"/>
        </w:rPr>
        <w:t>It enables staff to have confidence that they are providing safe and effective vaccines.</w:t>
      </w:r>
    </w:p>
    <w:p w:rsidR="00C0638C" w:rsidRDefault="009836E0" w:rsidP="00290B1C">
      <w:pPr>
        <w:pStyle w:val="Text"/>
        <w:spacing w:after="240"/>
      </w:pPr>
      <w:r>
        <w:t xml:space="preserve">Our practice will use the </w:t>
      </w:r>
      <w:r w:rsidRPr="009836E0">
        <w:t xml:space="preserve">National Vaccine Storage Guidelines: Strive for 5 </w:t>
      </w:r>
      <w:r>
        <w:t xml:space="preserve">templates for </w:t>
      </w:r>
      <w:r w:rsidRPr="009836E0">
        <w:t>Vaccine storage self-audit</w:t>
      </w:r>
      <w:r>
        <w:t xml:space="preserve"> (</w:t>
      </w:r>
      <w:r w:rsidRPr="009836E0">
        <w:t>page 4</w:t>
      </w:r>
      <w:r>
        <w:t>2).</w:t>
      </w:r>
    </w:p>
    <w:p w:rsidR="009836E0" w:rsidRDefault="009836E0" w:rsidP="00290B1C">
      <w:pPr>
        <w:pStyle w:val="Text"/>
        <w:spacing w:after="240"/>
        <w:rPr>
          <w:snapToGrid w:val="0"/>
          <w:szCs w:val="20"/>
        </w:rPr>
      </w:pPr>
      <w:r>
        <w:rPr>
          <w:snapToGrid w:val="0"/>
          <w:szCs w:val="20"/>
        </w:rPr>
        <w:t xml:space="preserve">Direct link: </w:t>
      </w:r>
      <w:hyperlink r:id="rId12" w:history="1">
        <w:r w:rsidRPr="0051200A">
          <w:rPr>
            <w:rStyle w:val="Hyperlink"/>
            <w:snapToGrid w:val="0"/>
            <w:szCs w:val="20"/>
          </w:rPr>
          <w:t>http://www.immunise.health.gov.au/internet/immunise/publishing.nsf/content/D7EDA378F0B97134CA257D4D0081E4BB/$File/strive-for-5-guidelines.pdf</w:t>
        </w:r>
      </w:hyperlink>
      <w:r>
        <w:rPr>
          <w:snapToGrid w:val="0"/>
          <w:szCs w:val="20"/>
        </w:rPr>
        <w:t xml:space="preserve"> </w:t>
      </w:r>
    </w:p>
    <w:p w:rsidR="00342CC4" w:rsidRPr="00036E83" w:rsidRDefault="00342CC4" w:rsidP="00290B1C">
      <w:pPr>
        <w:pStyle w:val="Text"/>
        <w:spacing w:after="240"/>
        <w:rPr>
          <w:snapToGrid w:val="0"/>
          <w:szCs w:val="20"/>
        </w:rPr>
      </w:pPr>
    </w:p>
    <w:p w:rsidR="00342CC4" w:rsidRPr="00036E83" w:rsidRDefault="00342CC4" w:rsidP="00342CC4">
      <w:pPr>
        <w:pStyle w:val="Sub-heading"/>
        <w:rPr>
          <w:snapToGrid w:val="0"/>
          <w:color w:val="auto"/>
        </w:rPr>
      </w:pPr>
      <w:r w:rsidRPr="00036E83">
        <w:rPr>
          <w:snapToGrid w:val="0"/>
          <w:color w:val="auto"/>
        </w:rPr>
        <w:t>Related contacts</w:t>
      </w:r>
    </w:p>
    <w:tbl>
      <w:tblPr>
        <w:tblStyle w:val="TableGrid"/>
        <w:tblW w:w="0" w:type="auto"/>
        <w:tblLook w:val="04A0" w:firstRow="1" w:lastRow="0" w:firstColumn="1" w:lastColumn="0" w:noHBand="0" w:noVBand="1"/>
      </w:tblPr>
      <w:tblGrid>
        <w:gridCol w:w="2539"/>
        <w:gridCol w:w="2427"/>
        <w:gridCol w:w="4663"/>
      </w:tblGrid>
      <w:tr w:rsidR="00D96175" w:rsidTr="00342CC4">
        <w:tc>
          <w:tcPr>
            <w:tcW w:w="2539" w:type="dxa"/>
            <w:shd w:val="clear" w:color="auto" w:fill="B40153" w:themeFill="text2"/>
          </w:tcPr>
          <w:p w:rsidR="00D96175" w:rsidRPr="00342CC4" w:rsidRDefault="00D96175" w:rsidP="00342CC4">
            <w:pPr>
              <w:pStyle w:val="Tableheadings"/>
              <w:rPr>
                <w:snapToGrid w:val="0"/>
              </w:rPr>
            </w:pPr>
            <w:r w:rsidRPr="00342CC4">
              <w:rPr>
                <w:snapToGrid w:val="0"/>
              </w:rPr>
              <w:t>Organisation</w:t>
            </w:r>
          </w:p>
        </w:tc>
        <w:tc>
          <w:tcPr>
            <w:tcW w:w="2427" w:type="dxa"/>
            <w:shd w:val="clear" w:color="auto" w:fill="B40153" w:themeFill="text2"/>
          </w:tcPr>
          <w:p w:rsidR="00D96175" w:rsidRPr="00342CC4" w:rsidRDefault="00D96175" w:rsidP="00342CC4">
            <w:pPr>
              <w:pStyle w:val="Tableheadings"/>
              <w:rPr>
                <w:snapToGrid w:val="0"/>
              </w:rPr>
            </w:pPr>
            <w:r w:rsidRPr="00342CC4">
              <w:rPr>
                <w:snapToGrid w:val="0"/>
              </w:rPr>
              <w:t>Contact for</w:t>
            </w:r>
          </w:p>
        </w:tc>
        <w:tc>
          <w:tcPr>
            <w:tcW w:w="4663" w:type="dxa"/>
            <w:shd w:val="clear" w:color="auto" w:fill="B40153" w:themeFill="text2"/>
          </w:tcPr>
          <w:p w:rsidR="00D96175" w:rsidRPr="00342CC4" w:rsidRDefault="00D96175" w:rsidP="00342CC4">
            <w:pPr>
              <w:pStyle w:val="Tableheadings"/>
              <w:rPr>
                <w:snapToGrid w:val="0"/>
              </w:rPr>
            </w:pPr>
            <w:r>
              <w:rPr>
                <w:snapToGrid w:val="0"/>
              </w:rPr>
              <w:t>Contact details</w:t>
            </w:r>
          </w:p>
        </w:tc>
      </w:tr>
      <w:tr w:rsidR="00D96175" w:rsidTr="00342CC4">
        <w:tc>
          <w:tcPr>
            <w:tcW w:w="2539" w:type="dxa"/>
          </w:tcPr>
          <w:p w:rsidR="00D96175" w:rsidRPr="00342CC4" w:rsidRDefault="00D96175" w:rsidP="00342CC4">
            <w:pPr>
              <w:pStyle w:val="Tabletext"/>
            </w:pPr>
            <w:r w:rsidRPr="00342CC4">
              <w:rPr>
                <w:szCs w:val="20"/>
              </w:rPr>
              <w:t>Central Immunisation Clinic</w:t>
            </w:r>
          </w:p>
        </w:tc>
        <w:tc>
          <w:tcPr>
            <w:tcW w:w="2427" w:type="dxa"/>
          </w:tcPr>
          <w:p w:rsidR="00D96175" w:rsidRPr="00342CC4" w:rsidRDefault="00D96175" w:rsidP="00342CC4">
            <w:pPr>
              <w:pStyle w:val="Tabletext"/>
            </w:pPr>
            <w:r w:rsidRPr="00342CC4">
              <w:t>Adverse event following immunisation (AEFI)</w:t>
            </w:r>
          </w:p>
          <w:p w:rsidR="00D96175" w:rsidRPr="00342CC4" w:rsidRDefault="00D96175" w:rsidP="00342CC4">
            <w:pPr>
              <w:pStyle w:val="Tabletext"/>
            </w:pPr>
          </w:p>
        </w:tc>
        <w:tc>
          <w:tcPr>
            <w:tcW w:w="4663" w:type="dxa"/>
          </w:tcPr>
          <w:p w:rsidR="00D96175" w:rsidRPr="00342CC4" w:rsidRDefault="00D96175" w:rsidP="00342CC4">
            <w:pPr>
              <w:pStyle w:val="Tabletext"/>
              <w:rPr>
                <w:szCs w:val="20"/>
              </w:rPr>
            </w:pPr>
            <w:r>
              <w:rPr>
                <w:szCs w:val="20"/>
              </w:rPr>
              <w:t xml:space="preserve">Phone: </w:t>
            </w:r>
            <w:r w:rsidRPr="00342CC4">
              <w:rPr>
                <w:szCs w:val="20"/>
              </w:rPr>
              <w:t>9321 1312</w:t>
            </w:r>
          </w:p>
          <w:p w:rsidR="00D96175" w:rsidRPr="00342CC4" w:rsidRDefault="00D96175" w:rsidP="00342CC4">
            <w:pPr>
              <w:pStyle w:val="Tabletext"/>
              <w:rPr>
                <w:szCs w:val="20"/>
              </w:rPr>
            </w:pPr>
            <w:r w:rsidRPr="00342CC4">
              <w:rPr>
                <w:szCs w:val="20"/>
              </w:rPr>
              <w:t>Contact your local </w:t>
            </w:r>
            <w:hyperlink r:id="rId13" w:history="1">
              <w:r w:rsidRPr="00342CC4">
                <w:rPr>
                  <w:rStyle w:val="Hyperlink"/>
                  <w:color w:val="auto"/>
                  <w:szCs w:val="20"/>
                </w:rPr>
                <w:t>Public/Population Health Unit</w:t>
              </w:r>
            </w:hyperlink>
          </w:p>
          <w:p w:rsidR="00D96175" w:rsidRPr="00342CC4" w:rsidRDefault="00D96175" w:rsidP="00342CC4">
            <w:pPr>
              <w:pStyle w:val="Tabletext"/>
              <w:rPr>
                <w:szCs w:val="20"/>
              </w:rPr>
            </w:pPr>
            <w:r w:rsidRPr="00342CC4">
              <w:rPr>
                <w:szCs w:val="20"/>
              </w:rPr>
              <w:t>See the </w:t>
            </w:r>
            <w:hyperlink r:id="rId14" w:history="1">
              <w:r w:rsidRPr="00342CC4">
                <w:rPr>
                  <w:rStyle w:val="Hyperlink"/>
                  <w:color w:val="auto"/>
                  <w:szCs w:val="20"/>
                </w:rPr>
                <w:t>WA surveillance reports</w:t>
              </w:r>
            </w:hyperlink>
          </w:p>
          <w:p w:rsidR="00D96175" w:rsidRPr="00D96175" w:rsidRDefault="00D96175" w:rsidP="00342CC4">
            <w:pPr>
              <w:pStyle w:val="Tabletext"/>
              <w:rPr>
                <w:szCs w:val="20"/>
              </w:rPr>
            </w:pPr>
            <w:r w:rsidRPr="00342CC4">
              <w:rPr>
                <w:szCs w:val="20"/>
              </w:rPr>
              <w:t>See </w:t>
            </w:r>
            <w:hyperlink r:id="rId15" w:history="1">
              <w:r w:rsidRPr="00342CC4">
                <w:rPr>
                  <w:rStyle w:val="Hyperlink"/>
                  <w:color w:val="auto"/>
                  <w:szCs w:val="20"/>
                </w:rPr>
                <w:t xml:space="preserve">the Australian Immunisation Handbook 10th Edition </w:t>
              </w:r>
            </w:hyperlink>
          </w:p>
        </w:tc>
      </w:tr>
      <w:tr w:rsidR="00D96175" w:rsidTr="0033675A">
        <w:trPr>
          <w:trHeight w:val="1320"/>
        </w:trPr>
        <w:tc>
          <w:tcPr>
            <w:tcW w:w="2539" w:type="dxa"/>
          </w:tcPr>
          <w:p w:rsidR="00D96175" w:rsidRDefault="00D96175" w:rsidP="00342CC4">
            <w:pPr>
              <w:pStyle w:val="Tabletext"/>
              <w:rPr>
                <w:snapToGrid w:val="0"/>
              </w:rPr>
            </w:pPr>
            <w:r w:rsidRPr="00342CC4">
              <w:rPr>
                <w:rStyle w:val="Strong"/>
                <w:b w:val="0"/>
                <w:bCs w:val="0"/>
              </w:rPr>
              <w:t>Prevention and Control Program – Communicable Disease Control Directorate</w:t>
            </w:r>
          </w:p>
        </w:tc>
        <w:tc>
          <w:tcPr>
            <w:tcW w:w="2427" w:type="dxa"/>
          </w:tcPr>
          <w:p w:rsidR="00D96175" w:rsidRDefault="00D96175" w:rsidP="00342CC4">
            <w:pPr>
              <w:pStyle w:val="Tabletext"/>
              <w:rPr>
                <w:snapToGrid w:val="0"/>
              </w:rPr>
            </w:pPr>
            <w:r>
              <w:rPr>
                <w:snapToGrid w:val="0"/>
              </w:rPr>
              <w:t>Vaccine ordering of government funded vaccines</w:t>
            </w:r>
          </w:p>
        </w:tc>
        <w:tc>
          <w:tcPr>
            <w:tcW w:w="4663" w:type="dxa"/>
          </w:tcPr>
          <w:p w:rsidR="00D96175" w:rsidRPr="00342CC4" w:rsidRDefault="00D96175" w:rsidP="00342CC4">
            <w:pPr>
              <w:pStyle w:val="Tabletext"/>
            </w:pPr>
            <w:r w:rsidRPr="00342CC4">
              <w:t>http://ww2.health.wa.gov.au/Articles/U_Z/Vaccine-ordering</w:t>
            </w:r>
          </w:p>
          <w:p w:rsidR="00D96175" w:rsidRPr="00342CC4" w:rsidRDefault="00D96175" w:rsidP="00342CC4">
            <w:pPr>
              <w:pStyle w:val="Tabletext"/>
            </w:pPr>
            <w:r w:rsidRPr="00342CC4">
              <w:t>Phone: 9388 4835 </w:t>
            </w:r>
            <w:r w:rsidRPr="00342CC4">
              <w:br/>
              <w:t>Fax: 9388 4877</w:t>
            </w:r>
            <w:r w:rsidRPr="00342CC4">
              <w:br/>
              <w:t>Email: </w:t>
            </w:r>
            <w:hyperlink r:id="rId16" w:history="1">
              <w:r w:rsidRPr="00342CC4">
                <w:rPr>
                  <w:rStyle w:val="Hyperlink"/>
                  <w:color w:val="auto"/>
                  <w:u w:val="none"/>
                </w:rPr>
                <w:t>vaccineorders@health.wa.gov.au</w:t>
              </w:r>
            </w:hyperlink>
          </w:p>
        </w:tc>
      </w:tr>
      <w:tr w:rsidR="00D96175" w:rsidTr="00342CC4">
        <w:tc>
          <w:tcPr>
            <w:tcW w:w="2539" w:type="dxa"/>
          </w:tcPr>
          <w:p w:rsidR="00D96175" w:rsidRPr="00342CC4" w:rsidRDefault="00D96175" w:rsidP="00342CC4">
            <w:pPr>
              <w:pStyle w:val="Tabletext"/>
              <w:rPr>
                <w:rStyle w:val="Strong"/>
                <w:b w:val="0"/>
                <w:bCs w:val="0"/>
              </w:rPr>
            </w:pPr>
            <w:r w:rsidRPr="00342CC4">
              <w:rPr>
                <w:rStyle w:val="Strong"/>
                <w:b w:val="0"/>
                <w:bCs w:val="0"/>
              </w:rPr>
              <w:t>Prevention and Control Program – Communicable Disease Control Directorate</w:t>
            </w:r>
          </w:p>
        </w:tc>
        <w:tc>
          <w:tcPr>
            <w:tcW w:w="2427" w:type="dxa"/>
          </w:tcPr>
          <w:p w:rsidR="00D96175" w:rsidRDefault="00D96175" w:rsidP="00342CC4">
            <w:pPr>
              <w:pStyle w:val="Tabletext"/>
              <w:rPr>
                <w:snapToGrid w:val="0"/>
              </w:rPr>
            </w:pPr>
            <w:r>
              <w:rPr>
                <w:rStyle w:val="Strong"/>
                <w:b w:val="0"/>
                <w:bCs w:val="0"/>
              </w:rPr>
              <w:t>Cold chain breach</w:t>
            </w:r>
          </w:p>
        </w:tc>
        <w:tc>
          <w:tcPr>
            <w:tcW w:w="4663" w:type="dxa"/>
          </w:tcPr>
          <w:p w:rsidR="00D96175" w:rsidRDefault="006B4012" w:rsidP="00342CC4">
            <w:pPr>
              <w:pStyle w:val="Tabletext"/>
              <w:rPr>
                <w:snapToGrid w:val="0"/>
              </w:rPr>
            </w:pPr>
            <w:hyperlink r:id="rId17" w:history="1">
              <w:r w:rsidR="00D96175" w:rsidRPr="00C75E82">
                <w:rPr>
                  <w:rStyle w:val="Hyperlink"/>
                  <w:snapToGrid w:val="0"/>
                </w:rPr>
                <w:t>http://ww2.health.wa.gov.au/Articles/A_E/Cold-chain-management</w:t>
              </w:r>
            </w:hyperlink>
          </w:p>
        </w:tc>
      </w:tr>
      <w:tr w:rsidR="00D96175" w:rsidTr="00342CC4">
        <w:tc>
          <w:tcPr>
            <w:tcW w:w="2539" w:type="dxa"/>
          </w:tcPr>
          <w:p w:rsidR="00D96175" w:rsidRPr="00342CC4" w:rsidRDefault="00D96175" w:rsidP="00342CC4">
            <w:pPr>
              <w:pStyle w:val="Tabletext"/>
            </w:pPr>
            <w:r w:rsidRPr="00342CC4">
              <w:rPr>
                <w:rStyle w:val="Strong"/>
                <w:b w:val="0"/>
                <w:bCs w:val="0"/>
              </w:rPr>
              <w:t>Quality Improvement and Change Management Unit </w:t>
            </w:r>
          </w:p>
        </w:tc>
        <w:tc>
          <w:tcPr>
            <w:tcW w:w="2427" w:type="dxa"/>
          </w:tcPr>
          <w:p w:rsidR="00D96175" w:rsidRDefault="00D96175" w:rsidP="00342CC4">
            <w:pPr>
              <w:pStyle w:val="Tabletext"/>
              <w:rPr>
                <w:snapToGrid w:val="0"/>
              </w:rPr>
            </w:pPr>
            <w:r>
              <w:rPr>
                <w:snapToGrid w:val="0"/>
              </w:rPr>
              <w:t>Safe storage of medications</w:t>
            </w:r>
          </w:p>
        </w:tc>
        <w:tc>
          <w:tcPr>
            <w:tcW w:w="4663" w:type="dxa"/>
          </w:tcPr>
          <w:p w:rsidR="00D96175" w:rsidRDefault="006B4012" w:rsidP="00342CC4">
            <w:pPr>
              <w:pStyle w:val="Tabletext"/>
              <w:rPr>
                <w:snapToGrid w:val="0"/>
              </w:rPr>
            </w:pPr>
            <w:hyperlink r:id="rId18" w:history="1">
              <w:r w:rsidR="00D96175" w:rsidRPr="00C75E82">
                <w:rPr>
                  <w:rStyle w:val="Hyperlink"/>
                  <w:snapToGrid w:val="0"/>
                </w:rPr>
                <w:t>http://ww2.health.wa.gov.au/Articles/S_T/Safe-storage-of-medications</w:t>
              </w:r>
            </w:hyperlink>
            <w:r w:rsidR="00D96175">
              <w:rPr>
                <w:snapToGrid w:val="0"/>
              </w:rPr>
              <w:t xml:space="preserve"> </w:t>
            </w:r>
          </w:p>
        </w:tc>
      </w:tr>
    </w:tbl>
    <w:p w:rsidR="00342CC4" w:rsidRPr="009836E0" w:rsidRDefault="00342CC4" w:rsidP="00290B1C">
      <w:pPr>
        <w:pStyle w:val="Text"/>
        <w:spacing w:after="240"/>
        <w:rPr>
          <w:snapToGrid w:val="0"/>
          <w:szCs w:val="20"/>
        </w:rPr>
      </w:pPr>
    </w:p>
    <w:bookmarkEnd w:id="76"/>
    <w:bookmarkEnd w:id="77"/>
    <w:sectPr w:rsidR="00342CC4" w:rsidRPr="009836E0" w:rsidSect="00E42D83">
      <w:footerReference w:type="even" r:id="rId19"/>
      <w:footerReference w:type="default" r:id="rId20"/>
      <w:headerReference w:type="first" r:id="rId21"/>
      <w:footerReference w:type="first" r:id="rId22"/>
      <w:pgSz w:w="11907" w:h="16839" w:code="9"/>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F28" w:rsidRDefault="001C6F28" w:rsidP="001E7041">
      <w:pPr>
        <w:spacing w:after="0" w:line="240" w:lineRule="auto"/>
      </w:pPr>
      <w:r>
        <w:separator/>
      </w:r>
    </w:p>
  </w:endnote>
  <w:endnote w:type="continuationSeparator" w:id="0">
    <w:p w:rsidR="001C6F28" w:rsidRDefault="001C6F28" w:rsidP="001E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DAD" w:rsidRDefault="00451DAD">
    <w:pPr>
      <w:pStyle w:val="Footer"/>
    </w:pPr>
    <w:r>
      <w:fldChar w:fldCharType="begin"/>
    </w:r>
    <w:r>
      <w:instrText xml:space="preserve"> PAGE   \* MERGEFORMAT </w:instrText>
    </w:r>
    <w:r>
      <w:fldChar w:fldCharType="separate"/>
    </w:r>
    <w:r w:rsidR="006B4012" w:rsidRPr="006B4012">
      <w:rPr>
        <w:b/>
        <w:bCs/>
        <w:noProof/>
      </w:rPr>
      <w:t>8</w:t>
    </w:r>
    <w:r>
      <w:rPr>
        <w:b/>
        <w:bCs/>
        <w:noProof/>
      </w:rPr>
      <w:fldChar w:fldCharType="end"/>
    </w:r>
    <w:r>
      <w:rPr>
        <w:b/>
        <w:bCs/>
      </w:rPr>
      <w:t xml:space="preserve"> </w:t>
    </w:r>
    <w:r>
      <w:t>|</w:t>
    </w:r>
    <w:r>
      <w:rPr>
        <w:b/>
        <w:bCs/>
      </w:rPr>
      <w:t xml:space="preserve"> </w:t>
    </w:r>
    <w:r>
      <w:rPr>
        <w:color w:val="1D1D1D"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DAD" w:rsidRDefault="00451DAD" w:rsidP="00451DAD">
    <w:pPr>
      <w:pStyle w:val="Footer"/>
      <w:jc w:val="right"/>
    </w:pPr>
    <w:r>
      <w:fldChar w:fldCharType="begin"/>
    </w:r>
    <w:r>
      <w:instrText xml:space="preserve"> PAGE   \* MERGEFORMAT </w:instrText>
    </w:r>
    <w:r>
      <w:fldChar w:fldCharType="separate"/>
    </w:r>
    <w:r w:rsidR="006B4012" w:rsidRPr="006B4012">
      <w:rPr>
        <w:b/>
        <w:bCs/>
        <w:noProof/>
      </w:rPr>
      <w:t>7</w:t>
    </w:r>
    <w:r>
      <w:rPr>
        <w:b/>
        <w:bCs/>
        <w:noProof/>
      </w:rPr>
      <w:fldChar w:fldCharType="end"/>
    </w:r>
    <w:r>
      <w:rPr>
        <w:b/>
        <w:bCs/>
      </w:rPr>
      <w:t xml:space="preserve"> </w:t>
    </w:r>
    <w:r>
      <w:t>|</w:t>
    </w:r>
    <w:r>
      <w:rPr>
        <w:b/>
        <w:bCs/>
      </w:rPr>
      <w:t xml:space="preserve"> </w:t>
    </w:r>
    <w:r>
      <w:rPr>
        <w:color w:val="1D1D1D"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DAD" w:rsidRDefault="00DC02D1" w:rsidP="00DC02D1">
    <w:pPr>
      <w:pStyle w:val="Footer"/>
      <w:spacing w:before="240"/>
    </w:pPr>
    <w:r>
      <w:rPr>
        <w:noProof/>
      </w:rPr>
      <w:drawing>
        <wp:anchor distT="0" distB="0" distL="114300" distR="114300" simplePos="0" relativeHeight="251666432" behindDoc="0" locked="0" layoutInCell="1" allowOverlap="1">
          <wp:simplePos x="0" y="0"/>
          <wp:positionH relativeFrom="page">
            <wp:align>left</wp:align>
          </wp:positionH>
          <wp:positionV relativeFrom="page">
            <wp:posOffset>9039225</wp:posOffset>
          </wp:positionV>
          <wp:extent cx="7560000" cy="1443600"/>
          <wp:effectExtent l="0" t="0" r="317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SCALE FOOTER 140218_2_initiative_Whilst all car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F28" w:rsidRDefault="001C6F28" w:rsidP="001E7041">
      <w:pPr>
        <w:spacing w:after="0" w:line="240" w:lineRule="auto"/>
      </w:pPr>
      <w:r>
        <w:separator/>
      </w:r>
    </w:p>
  </w:footnote>
  <w:footnote w:type="continuationSeparator" w:id="0">
    <w:p w:rsidR="001C6F28" w:rsidRDefault="001C6F28" w:rsidP="001E7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CC" w:rsidRDefault="00277FB9">
    <w:pPr>
      <w:pStyle w:val="Header"/>
    </w:pPr>
    <w:r>
      <w:rPr>
        <w:noProof/>
      </w:rPr>
      <mc:AlternateContent>
        <mc:Choice Requires="wps">
          <w:drawing>
            <wp:anchor distT="45720" distB="45720" distL="114300" distR="114300" simplePos="0" relativeHeight="251665408" behindDoc="0" locked="0" layoutInCell="1" allowOverlap="1" wp14:anchorId="624E1A9A" wp14:editId="695F7510">
              <wp:simplePos x="0" y="0"/>
              <wp:positionH relativeFrom="column">
                <wp:posOffset>4581525</wp:posOffset>
              </wp:positionH>
              <wp:positionV relativeFrom="paragraph">
                <wp:posOffset>1323340</wp:posOffset>
              </wp:positionV>
              <wp:extent cx="1727835" cy="25146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51460"/>
                      </a:xfrm>
                      <a:prstGeom prst="rect">
                        <a:avLst/>
                      </a:prstGeom>
                      <a:noFill/>
                      <a:ln w="9525">
                        <a:noFill/>
                        <a:miter lim="800000"/>
                        <a:headEnd/>
                        <a:tailEnd/>
                      </a:ln>
                    </wps:spPr>
                    <wps:txbx>
                      <w:txbxContent>
                        <w:p w:rsidR="00277FB9" w:rsidRPr="009F29DE" w:rsidRDefault="00277FB9" w:rsidP="00277FB9">
                          <w:pPr>
                            <w:jc w:val="right"/>
                            <w:rPr>
                              <w:rFonts w:ascii="Arial" w:hAnsi="Arial" w:cs="Arial"/>
                            </w:rPr>
                          </w:pPr>
                          <w:r>
                            <w:rPr>
                              <w:rFonts w:ascii="Arial" w:hAnsi="Arial" w:cs="Arial"/>
                            </w:rPr>
                            <w:t>V</w:t>
                          </w:r>
                          <w:r w:rsidRPr="009F29DE">
                            <w:rPr>
                              <w:rFonts w:ascii="Arial" w:hAnsi="Arial" w:cs="Arial"/>
                            </w:rPr>
                            <w:t>1</w:t>
                          </w:r>
                          <w:r>
                            <w:rPr>
                              <w:rFonts w:ascii="Arial" w:hAnsi="Arial" w:cs="Arial"/>
                            </w:rPr>
                            <w:t>.1</w:t>
                          </w:r>
                          <w:r w:rsidRPr="009F29DE">
                            <w:rPr>
                              <w:rFonts w:ascii="Arial" w:hAnsi="Arial" w:cs="Arial"/>
                            </w:rPr>
                            <w:t xml:space="preserve"> \ </w:t>
                          </w:r>
                          <w:r>
                            <w:rPr>
                              <w:rFonts w:ascii="Arial" w:hAnsi="Arial" w:cs="Arial"/>
                            </w:rPr>
                            <w:t>January 2018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E1A9A" id="_x0000_t202" coordsize="21600,21600" o:spt="202" path="m,l,21600r21600,l21600,xe">
              <v:stroke joinstyle="miter"/>
              <v:path gradientshapeok="t" o:connecttype="rect"/>
            </v:shapetype>
            <v:shape id="Text Box 2" o:spid="_x0000_s1026" type="#_x0000_t202" style="position:absolute;margin-left:360.75pt;margin-top:104.2pt;width:136.05pt;height:19.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" filled="f" stroked="f">
              <v:textbox inset="0,0,0,0">
                <w:txbxContent>
                  <w:p w:rsidR="00277FB9" w:rsidRPr="009F29DE" w:rsidRDefault="00277FB9" w:rsidP="00277FB9">
                    <w:pPr>
                      <w:jc w:val="right"/>
                      <w:rPr>
                        <w:rFonts w:ascii="Arial" w:hAnsi="Arial" w:cs="Arial"/>
                      </w:rPr>
                    </w:pPr>
                    <w:r>
                      <w:rPr>
                        <w:rFonts w:ascii="Arial" w:hAnsi="Arial" w:cs="Arial"/>
                      </w:rPr>
                      <w:t>V</w:t>
                    </w:r>
                    <w:r w:rsidRPr="009F29DE">
                      <w:rPr>
                        <w:rFonts w:ascii="Arial" w:hAnsi="Arial" w:cs="Arial"/>
                      </w:rPr>
                      <w:t>1</w:t>
                    </w:r>
                    <w:r>
                      <w:rPr>
                        <w:rFonts w:ascii="Arial" w:hAnsi="Arial" w:cs="Arial"/>
                      </w:rPr>
                      <w:t>.1</w:t>
                    </w:r>
                    <w:r w:rsidRPr="009F29DE">
                      <w:rPr>
                        <w:rFonts w:ascii="Arial" w:hAnsi="Arial" w:cs="Arial"/>
                      </w:rPr>
                      <w:t xml:space="preserve"> \ </w:t>
                    </w:r>
                    <w:r>
                      <w:rPr>
                        <w:rFonts w:ascii="Arial" w:hAnsi="Arial" w:cs="Arial"/>
                      </w:rPr>
                      <w:t>January 2018</w:t>
                    </w:r>
                  </w:p>
                </w:txbxContent>
              </v:textbox>
              <w10:wrap type="square"/>
            </v:shape>
          </w:pict>
        </mc:Fallback>
      </mc:AlternateContent>
    </w:r>
    <w:r w:rsidR="00AB55CC">
      <w:rPr>
        <w:noProof/>
      </w:rPr>
      <w:drawing>
        <wp:anchor distT="0" distB="0" distL="114300" distR="114300" simplePos="0" relativeHeight="251659264" behindDoc="1" locked="0" layoutInCell="1" allowOverlap="1" wp14:anchorId="13BFA2FC" wp14:editId="39DC6ACC">
          <wp:simplePos x="0" y="0"/>
          <wp:positionH relativeFrom="page">
            <wp:align>left</wp:align>
          </wp:positionH>
          <wp:positionV relativeFrom="page">
            <wp:align>top</wp:align>
          </wp:positionV>
          <wp:extent cx="7557770" cy="1803400"/>
          <wp:effectExtent l="0" t="0" r="508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bon CHEAT 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67B"/>
    <w:multiLevelType w:val="hybridMultilevel"/>
    <w:tmpl w:val="DA521C7C"/>
    <w:lvl w:ilvl="0" w:tplc="9FA06E76">
      <w:start w:val="1"/>
      <w:numFmt w:val="bullet"/>
      <w:pStyle w:val="Tablebullet2"/>
      <w:lvlText w:val=""/>
      <w:lvlJc w:val="left"/>
      <w:pPr>
        <w:ind w:left="1004" w:hanging="360"/>
      </w:pPr>
      <w:rPr>
        <w:rFonts w:ascii="Wingdings" w:hAnsi="Wingdings" w:hint="default"/>
        <w:color w:val="808080"/>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03311C5C"/>
    <w:multiLevelType w:val="hybridMultilevel"/>
    <w:tmpl w:val="576C5660"/>
    <w:lvl w:ilvl="0" w:tplc="ECECC66A">
      <w:start w:val="1"/>
      <w:numFmt w:val="bullet"/>
      <w:lvlText w:val=""/>
      <w:lvlJc w:val="left"/>
      <w:pPr>
        <w:tabs>
          <w:tab w:val="num" w:pos="360"/>
        </w:tabs>
        <w:ind w:left="360" w:hanging="360"/>
      </w:pPr>
      <w:rPr>
        <w:rFonts w:ascii="Wingdings" w:hAnsi="Wingdings" w:hint="default"/>
        <w:sz w:val="16"/>
        <w:szCs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A192B"/>
    <w:multiLevelType w:val="hybridMultilevel"/>
    <w:tmpl w:val="8BA0FEC0"/>
    <w:lvl w:ilvl="0" w:tplc="BC96584E">
      <w:start w:val="1"/>
      <w:numFmt w:val="bullet"/>
      <w:pStyle w:val="Tablebulletpoint"/>
      <w:lvlText w:val=""/>
      <w:lvlJc w:val="left"/>
      <w:pPr>
        <w:ind w:left="360" w:hanging="360"/>
      </w:pPr>
      <w:rPr>
        <w:rFonts w:ascii="Symbol" w:hAnsi="Symbol" w:hint="default"/>
        <w:color w:val="1E1E1E"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9277AC"/>
    <w:multiLevelType w:val="hybridMultilevel"/>
    <w:tmpl w:val="C3983A30"/>
    <w:lvl w:ilvl="0" w:tplc="CCFA4F46">
      <w:start w:val="1"/>
      <w:numFmt w:val="decimal"/>
      <w:lvlText w:val="%1."/>
      <w:lvlJc w:val="left"/>
      <w:pPr>
        <w:ind w:left="360" w:hanging="360"/>
      </w:pPr>
      <w:rPr>
        <w:rFonts w:ascii="Arial" w:hAnsi="Arial" w:hint="default"/>
        <w:b/>
        <w:i w:val="0"/>
        <w:color w:val="E72371" w:themeColor="text1"/>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DF6661"/>
    <w:multiLevelType w:val="hybridMultilevel"/>
    <w:tmpl w:val="35A2FD26"/>
    <w:lvl w:ilvl="0" w:tplc="0C090001">
      <w:start w:val="1"/>
      <w:numFmt w:val="bullet"/>
      <w:lvlText w:val=""/>
      <w:lvlJc w:val="left"/>
      <w:pPr>
        <w:ind w:left="360" w:hanging="360"/>
      </w:pPr>
      <w:rPr>
        <w:rFonts w:ascii="Symbol" w:hAnsi="Symbol" w:hint="default"/>
        <w:color w:val="1E1E1E" w:themeColor="background1" w:themeShade="80"/>
        <w:sz w:val="20"/>
      </w:rPr>
    </w:lvl>
    <w:lvl w:ilvl="1" w:tplc="65386DFE">
      <w:start w:val="1"/>
      <w:numFmt w:val="bullet"/>
      <w:pStyle w:val="Bullet2"/>
      <w:lvlText w:val=""/>
      <w:lvlJc w:val="left"/>
      <w:pPr>
        <w:ind w:left="1440" w:hanging="360"/>
      </w:pPr>
      <w:rPr>
        <w:rFonts w:ascii="Wingdings" w:hAnsi="Wingdings" w:hint="default"/>
        <w:color w:val="1E1E1E" w:themeColor="background1" w:themeShade="8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AFDC1ED8">
      <w:start w:val="1"/>
      <w:numFmt w:val="bullet"/>
      <w:pStyle w:val="Bullet3"/>
      <w:lvlText w:val=""/>
      <w:lvlJc w:val="left"/>
      <w:pPr>
        <w:ind w:left="3600" w:hanging="360"/>
      </w:pPr>
      <w:rPr>
        <w:rFonts w:ascii="Wingdings" w:hAnsi="Wingdings" w:hint="default"/>
        <w:color w:val="1E1E1E" w:themeColor="background1" w:themeShade="80"/>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BB78C2"/>
    <w:multiLevelType w:val="hybridMultilevel"/>
    <w:tmpl w:val="E2FA0B36"/>
    <w:lvl w:ilvl="0" w:tplc="ECECC66A">
      <w:start w:val="1"/>
      <w:numFmt w:val="bullet"/>
      <w:lvlText w:val=""/>
      <w:lvlJc w:val="left"/>
      <w:pPr>
        <w:tabs>
          <w:tab w:val="num" w:pos="360"/>
        </w:tabs>
        <w:ind w:left="360" w:hanging="360"/>
      </w:pPr>
      <w:rPr>
        <w:rFonts w:ascii="Wingdings" w:hAnsi="Wingdings" w:hint="default"/>
        <w:sz w:val="16"/>
        <w:szCs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803CA0"/>
    <w:multiLevelType w:val="hybridMultilevel"/>
    <w:tmpl w:val="B7444EA6"/>
    <w:lvl w:ilvl="0" w:tplc="04090001">
      <w:start w:val="1"/>
      <w:numFmt w:val="decimal"/>
      <w:pStyle w:val="Figure"/>
      <w:lvlText w:val="Figure %1"/>
      <w:lvlJc w:val="left"/>
      <w:pPr>
        <w:tabs>
          <w:tab w:val="num" w:pos="1080"/>
        </w:tabs>
        <w:ind w:left="720" w:hanging="720"/>
      </w:pPr>
      <w:rPr>
        <w:rFonts w:hint="default"/>
        <w:b/>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15:restartNumberingAfterBreak="0">
    <w:nsid w:val="3A3D795D"/>
    <w:multiLevelType w:val="hybridMultilevel"/>
    <w:tmpl w:val="667C3FFE"/>
    <w:lvl w:ilvl="0" w:tplc="ECECC66A">
      <w:start w:val="1"/>
      <w:numFmt w:val="bullet"/>
      <w:lvlText w:val=""/>
      <w:lvlJc w:val="left"/>
      <w:pPr>
        <w:tabs>
          <w:tab w:val="num" w:pos="360"/>
        </w:tabs>
        <w:ind w:left="360" w:hanging="360"/>
      </w:pPr>
      <w:rPr>
        <w:rFonts w:ascii="Wingdings" w:hAnsi="Wingdings" w:hint="default"/>
        <w:sz w:val="16"/>
        <w:szCs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82582"/>
    <w:multiLevelType w:val="hybridMultilevel"/>
    <w:tmpl w:val="556EC886"/>
    <w:lvl w:ilvl="0" w:tplc="ECECC66A">
      <w:start w:val="1"/>
      <w:numFmt w:val="bullet"/>
      <w:lvlText w:val=""/>
      <w:lvlJc w:val="left"/>
      <w:pPr>
        <w:tabs>
          <w:tab w:val="num" w:pos="360"/>
        </w:tabs>
        <w:ind w:left="360" w:hanging="360"/>
      </w:pPr>
      <w:rPr>
        <w:rFonts w:ascii="Wingdings" w:hAnsi="Wingdings" w:hint="default"/>
        <w:sz w:val="16"/>
        <w:szCs w:val="16"/>
      </w:rPr>
    </w:lvl>
    <w:lvl w:ilvl="1" w:tplc="5052CA48">
      <w:start w:val="1"/>
      <w:numFmt w:val="bullet"/>
      <w:lvlText w:val=""/>
      <w:lvlJc w:val="left"/>
      <w:pPr>
        <w:tabs>
          <w:tab w:val="num" w:pos="1440"/>
        </w:tabs>
        <w:ind w:left="1440" w:hanging="360"/>
      </w:pPr>
      <w:rPr>
        <w:rFonts w:ascii="Symbol" w:hAnsi="Symbol" w:hint="default"/>
        <w:sz w:val="16"/>
        <w:szCs w:val="16"/>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B50E3"/>
    <w:multiLevelType w:val="multilevel"/>
    <w:tmpl w:val="ACA0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887A47"/>
    <w:multiLevelType w:val="hybridMultilevel"/>
    <w:tmpl w:val="B65EE226"/>
    <w:lvl w:ilvl="0" w:tplc="B2366874">
      <w:start w:val="1"/>
      <w:numFmt w:val="bullet"/>
      <w:pStyle w:val="Locationofrelatedpolicyorprocedure"/>
      <w:lvlText w:val=""/>
      <w:lvlJc w:val="left"/>
      <w:pPr>
        <w:ind w:left="360" w:hanging="360"/>
      </w:pPr>
      <w:rPr>
        <w:rFonts w:ascii="Symbol" w:hAnsi="Symbol" w:hint="default"/>
        <w:color w:val="67A4BC"/>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9D34B1C"/>
    <w:multiLevelType w:val="hybridMultilevel"/>
    <w:tmpl w:val="957C2006"/>
    <w:lvl w:ilvl="0" w:tplc="0EE8251E">
      <w:start w:val="1"/>
      <w:numFmt w:val="bullet"/>
      <w:pStyle w:val="Tablebullet1"/>
      <w:lvlText w:val=""/>
      <w:lvlJc w:val="left"/>
      <w:pPr>
        <w:ind w:left="360" w:hanging="360"/>
      </w:pPr>
      <w:rPr>
        <w:rFonts w:ascii="Symbol" w:hAnsi="Symbol" w:hint="default"/>
        <w:color w:val="1E1E1E" w:themeColor="background1" w:themeShade="80"/>
        <w:sz w:val="2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BE7700"/>
    <w:multiLevelType w:val="hybridMultilevel"/>
    <w:tmpl w:val="02B06B38"/>
    <w:lvl w:ilvl="0" w:tplc="ECECC66A">
      <w:start w:val="1"/>
      <w:numFmt w:val="bullet"/>
      <w:lvlText w:val=""/>
      <w:lvlJc w:val="left"/>
      <w:pPr>
        <w:tabs>
          <w:tab w:val="num" w:pos="360"/>
        </w:tabs>
        <w:ind w:left="360" w:hanging="360"/>
      </w:pPr>
      <w:rPr>
        <w:rFonts w:ascii="Wingdings" w:hAnsi="Wingdings" w:hint="default"/>
        <w:sz w:val="16"/>
        <w:szCs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83262E"/>
    <w:multiLevelType w:val="hybridMultilevel"/>
    <w:tmpl w:val="DD3020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274E15"/>
    <w:multiLevelType w:val="hybridMultilevel"/>
    <w:tmpl w:val="CD56F6EA"/>
    <w:lvl w:ilvl="0" w:tplc="ECECC66A">
      <w:start w:val="1"/>
      <w:numFmt w:val="bullet"/>
      <w:lvlText w:val=""/>
      <w:lvlJc w:val="left"/>
      <w:pPr>
        <w:tabs>
          <w:tab w:val="num" w:pos="360"/>
        </w:tabs>
        <w:ind w:left="360" w:hanging="360"/>
      </w:pPr>
      <w:rPr>
        <w:rFonts w:ascii="Wingdings" w:hAnsi="Wingdings" w:hint="default"/>
        <w:sz w:val="16"/>
        <w:szCs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A77DE4"/>
    <w:multiLevelType w:val="hybridMultilevel"/>
    <w:tmpl w:val="DF962916"/>
    <w:lvl w:ilvl="0" w:tplc="91888AB0">
      <w:start w:val="1"/>
      <w:numFmt w:val="bullet"/>
      <w:pStyle w:val="Bullet1"/>
      <w:lvlText w:val=""/>
      <w:lvlJc w:val="left"/>
      <w:pPr>
        <w:ind w:left="720" w:hanging="360"/>
      </w:pPr>
      <w:rPr>
        <w:rFonts w:ascii="Symbol" w:hAnsi="Symbol" w:hint="default"/>
        <w:color w:val="1E1E1E"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1"/>
  </w:num>
  <w:num w:numId="5">
    <w:abstractNumId w:val="15"/>
  </w:num>
  <w:num w:numId="6">
    <w:abstractNumId w:val="0"/>
  </w:num>
  <w:num w:numId="7">
    <w:abstractNumId w:val="10"/>
  </w:num>
  <w:num w:numId="8">
    <w:abstractNumId w:val="8"/>
  </w:num>
  <w:num w:numId="9">
    <w:abstractNumId w:val="1"/>
  </w:num>
  <w:num w:numId="10">
    <w:abstractNumId w:val="7"/>
  </w:num>
  <w:num w:numId="11">
    <w:abstractNumId w:val="12"/>
  </w:num>
  <w:num w:numId="12">
    <w:abstractNumId w:val="14"/>
  </w:num>
  <w:num w:numId="13">
    <w:abstractNumId w:val="5"/>
  </w:num>
  <w:num w:numId="14">
    <w:abstractNumId w:val="3"/>
  </w:num>
  <w:num w:numId="15">
    <w:abstractNumId w:val="13"/>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4577"/>
    <o:shapelayout v:ext="edit">
      <o:regrouptable v:ext="edit">
        <o:entry new="1" old="0"/>
      </o:regrouptable>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D5"/>
    <w:rsid w:val="000022F2"/>
    <w:rsid w:val="000058C2"/>
    <w:rsid w:val="00015F07"/>
    <w:rsid w:val="0002345A"/>
    <w:rsid w:val="00025E42"/>
    <w:rsid w:val="00036E83"/>
    <w:rsid w:val="0005501B"/>
    <w:rsid w:val="00074998"/>
    <w:rsid w:val="000B23E8"/>
    <w:rsid w:val="000B3EA6"/>
    <w:rsid w:val="000C2B30"/>
    <w:rsid w:val="000E0B6D"/>
    <w:rsid w:val="000F3D72"/>
    <w:rsid w:val="001216D9"/>
    <w:rsid w:val="00127973"/>
    <w:rsid w:val="00130415"/>
    <w:rsid w:val="00133715"/>
    <w:rsid w:val="0014495D"/>
    <w:rsid w:val="00150E7E"/>
    <w:rsid w:val="00157B0F"/>
    <w:rsid w:val="00165068"/>
    <w:rsid w:val="001915F4"/>
    <w:rsid w:val="00191DDA"/>
    <w:rsid w:val="001A5A28"/>
    <w:rsid w:val="001A5B23"/>
    <w:rsid w:val="001B3677"/>
    <w:rsid w:val="001C6F28"/>
    <w:rsid w:val="001D347B"/>
    <w:rsid w:val="001E510B"/>
    <w:rsid w:val="001E7041"/>
    <w:rsid w:val="001F4D94"/>
    <w:rsid w:val="001F73CE"/>
    <w:rsid w:val="00201020"/>
    <w:rsid w:val="002028B8"/>
    <w:rsid w:val="00213558"/>
    <w:rsid w:val="00217F63"/>
    <w:rsid w:val="00224EB1"/>
    <w:rsid w:val="002303BE"/>
    <w:rsid w:val="00252DE4"/>
    <w:rsid w:val="00254690"/>
    <w:rsid w:val="00255205"/>
    <w:rsid w:val="002562D6"/>
    <w:rsid w:val="00261219"/>
    <w:rsid w:val="002656D9"/>
    <w:rsid w:val="00267325"/>
    <w:rsid w:val="00272184"/>
    <w:rsid w:val="00277FB9"/>
    <w:rsid w:val="002833A0"/>
    <w:rsid w:val="0028624A"/>
    <w:rsid w:val="00290B1C"/>
    <w:rsid w:val="002A4CDD"/>
    <w:rsid w:val="002B2371"/>
    <w:rsid w:val="002B56CC"/>
    <w:rsid w:val="002D6A80"/>
    <w:rsid w:val="002D75EA"/>
    <w:rsid w:val="002E10B3"/>
    <w:rsid w:val="003016C3"/>
    <w:rsid w:val="00320C92"/>
    <w:rsid w:val="00322F94"/>
    <w:rsid w:val="00342CC4"/>
    <w:rsid w:val="003505D5"/>
    <w:rsid w:val="00363B53"/>
    <w:rsid w:val="00365F35"/>
    <w:rsid w:val="0037711D"/>
    <w:rsid w:val="0039387F"/>
    <w:rsid w:val="00396AC8"/>
    <w:rsid w:val="003D35FC"/>
    <w:rsid w:val="003E0FE9"/>
    <w:rsid w:val="003E2FFC"/>
    <w:rsid w:val="003F67D3"/>
    <w:rsid w:val="00406D7D"/>
    <w:rsid w:val="004102B6"/>
    <w:rsid w:val="00426A39"/>
    <w:rsid w:val="00446770"/>
    <w:rsid w:val="00450E3B"/>
    <w:rsid w:val="00451DAD"/>
    <w:rsid w:val="0045586C"/>
    <w:rsid w:val="004629BB"/>
    <w:rsid w:val="0047434D"/>
    <w:rsid w:val="00476DF5"/>
    <w:rsid w:val="00485859"/>
    <w:rsid w:val="004B26E4"/>
    <w:rsid w:val="004B410F"/>
    <w:rsid w:val="004B70B8"/>
    <w:rsid w:val="004C2737"/>
    <w:rsid w:val="004C4BC1"/>
    <w:rsid w:val="004F2A41"/>
    <w:rsid w:val="00523082"/>
    <w:rsid w:val="00530EB0"/>
    <w:rsid w:val="005605A2"/>
    <w:rsid w:val="00562187"/>
    <w:rsid w:val="00562643"/>
    <w:rsid w:val="005975AF"/>
    <w:rsid w:val="005A1193"/>
    <w:rsid w:val="005D1739"/>
    <w:rsid w:val="005E38D9"/>
    <w:rsid w:val="00605BFD"/>
    <w:rsid w:val="00631203"/>
    <w:rsid w:val="0063672D"/>
    <w:rsid w:val="00661C53"/>
    <w:rsid w:val="00667A77"/>
    <w:rsid w:val="00677633"/>
    <w:rsid w:val="006947EF"/>
    <w:rsid w:val="006B4012"/>
    <w:rsid w:val="006B7DAA"/>
    <w:rsid w:val="006C023E"/>
    <w:rsid w:val="006D1D8F"/>
    <w:rsid w:val="00730165"/>
    <w:rsid w:val="007411AF"/>
    <w:rsid w:val="00746317"/>
    <w:rsid w:val="00761645"/>
    <w:rsid w:val="00763501"/>
    <w:rsid w:val="00764C37"/>
    <w:rsid w:val="007953CE"/>
    <w:rsid w:val="007A6AB8"/>
    <w:rsid w:val="007B2163"/>
    <w:rsid w:val="007B479F"/>
    <w:rsid w:val="007F4B59"/>
    <w:rsid w:val="008005BD"/>
    <w:rsid w:val="00804E5C"/>
    <w:rsid w:val="00825F87"/>
    <w:rsid w:val="00846CC9"/>
    <w:rsid w:val="00867F9A"/>
    <w:rsid w:val="0088168C"/>
    <w:rsid w:val="008976F0"/>
    <w:rsid w:val="008A3DA3"/>
    <w:rsid w:val="008C7A7C"/>
    <w:rsid w:val="008C7C86"/>
    <w:rsid w:val="008D1B0E"/>
    <w:rsid w:val="008E6F4E"/>
    <w:rsid w:val="0092461F"/>
    <w:rsid w:val="0093256A"/>
    <w:rsid w:val="00946D9A"/>
    <w:rsid w:val="00954458"/>
    <w:rsid w:val="00970D99"/>
    <w:rsid w:val="00972B55"/>
    <w:rsid w:val="0098306F"/>
    <w:rsid w:val="009836E0"/>
    <w:rsid w:val="009844A1"/>
    <w:rsid w:val="00990832"/>
    <w:rsid w:val="00990919"/>
    <w:rsid w:val="00991178"/>
    <w:rsid w:val="009A68DF"/>
    <w:rsid w:val="009B2950"/>
    <w:rsid w:val="009D6624"/>
    <w:rsid w:val="00A272D3"/>
    <w:rsid w:val="00A325F1"/>
    <w:rsid w:val="00A41C38"/>
    <w:rsid w:val="00A44E4F"/>
    <w:rsid w:val="00A5336A"/>
    <w:rsid w:val="00A72699"/>
    <w:rsid w:val="00A9114C"/>
    <w:rsid w:val="00AA03B3"/>
    <w:rsid w:val="00AB55CC"/>
    <w:rsid w:val="00AF6E87"/>
    <w:rsid w:val="00B100ED"/>
    <w:rsid w:val="00B113AD"/>
    <w:rsid w:val="00B250A0"/>
    <w:rsid w:val="00B377AC"/>
    <w:rsid w:val="00B4612F"/>
    <w:rsid w:val="00B85495"/>
    <w:rsid w:val="00B87742"/>
    <w:rsid w:val="00B977B0"/>
    <w:rsid w:val="00BE6507"/>
    <w:rsid w:val="00BF0904"/>
    <w:rsid w:val="00BF140E"/>
    <w:rsid w:val="00C04F16"/>
    <w:rsid w:val="00C0638C"/>
    <w:rsid w:val="00C06FEF"/>
    <w:rsid w:val="00C26702"/>
    <w:rsid w:val="00C30C5F"/>
    <w:rsid w:val="00C30D61"/>
    <w:rsid w:val="00C6593C"/>
    <w:rsid w:val="00C666CC"/>
    <w:rsid w:val="00C67BBD"/>
    <w:rsid w:val="00C70877"/>
    <w:rsid w:val="00CF34E8"/>
    <w:rsid w:val="00D10AC6"/>
    <w:rsid w:val="00D12CE5"/>
    <w:rsid w:val="00D2192C"/>
    <w:rsid w:val="00D51EA3"/>
    <w:rsid w:val="00D646A4"/>
    <w:rsid w:val="00D67631"/>
    <w:rsid w:val="00D8039F"/>
    <w:rsid w:val="00D96175"/>
    <w:rsid w:val="00D97C8B"/>
    <w:rsid w:val="00DB54C3"/>
    <w:rsid w:val="00DB7477"/>
    <w:rsid w:val="00DC02D1"/>
    <w:rsid w:val="00DC6488"/>
    <w:rsid w:val="00DF08D7"/>
    <w:rsid w:val="00DF66AC"/>
    <w:rsid w:val="00E021AF"/>
    <w:rsid w:val="00E17D00"/>
    <w:rsid w:val="00E23328"/>
    <w:rsid w:val="00E4106A"/>
    <w:rsid w:val="00E42D83"/>
    <w:rsid w:val="00E716D1"/>
    <w:rsid w:val="00E73115"/>
    <w:rsid w:val="00E77D7B"/>
    <w:rsid w:val="00E81503"/>
    <w:rsid w:val="00EB13D5"/>
    <w:rsid w:val="00EB1F94"/>
    <w:rsid w:val="00F071B5"/>
    <w:rsid w:val="00F3202C"/>
    <w:rsid w:val="00F3608E"/>
    <w:rsid w:val="00F5212B"/>
    <w:rsid w:val="00F66E3E"/>
    <w:rsid w:val="00F904F4"/>
    <w:rsid w:val="00F9117A"/>
    <w:rsid w:val="00F91F0B"/>
    <w:rsid w:val="00FC4F51"/>
    <w:rsid w:val="00FC5DDC"/>
    <w:rsid w:val="00FC73AF"/>
    <w:rsid w:val="00FE0186"/>
    <w:rsid w:val="00FE71E7"/>
    <w:rsid w:val="00FF1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9BBED7"/>
  <w15:docId w15:val="{715E7D19-AA6B-41C6-ADC8-D3CDDEED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30D61"/>
  </w:style>
  <w:style w:type="paragraph" w:styleId="Heading1">
    <w:name w:val="heading 1"/>
    <w:basedOn w:val="Normal"/>
    <w:next w:val="Normal"/>
    <w:link w:val="Heading1Char"/>
    <w:autoRedefine/>
    <w:rsid w:val="005975AF"/>
    <w:pPr>
      <w:keepNext/>
      <w:numPr>
        <w:ilvl w:val="12"/>
      </w:numPr>
      <w:spacing w:before="240" w:after="60" w:line="240" w:lineRule="auto"/>
      <w:ind w:left="72"/>
      <w:jc w:val="both"/>
      <w:outlineLvl w:val="0"/>
    </w:pPr>
    <w:rPr>
      <w:rFonts w:ascii="Arial" w:eastAsia="Times New Roman" w:hAnsi="Arial" w:cs="Arial"/>
      <w:b/>
      <w:bCs/>
      <w:color w:val="3C3C3C" w:themeColor="background1"/>
      <w:kern w:val="32"/>
    </w:rPr>
  </w:style>
  <w:style w:type="paragraph" w:styleId="Heading2">
    <w:name w:val="heading 2"/>
    <w:basedOn w:val="Normal"/>
    <w:next w:val="Normal"/>
    <w:link w:val="Heading2Char"/>
    <w:autoRedefine/>
    <w:uiPriority w:val="9"/>
    <w:unhideWhenUsed/>
    <w:rsid w:val="002028B8"/>
    <w:pPr>
      <w:keepNext/>
      <w:spacing w:after="180" w:line="240" w:lineRule="auto"/>
      <w:jc w:val="both"/>
      <w:outlineLvl w:val="1"/>
    </w:pPr>
    <w:rPr>
      <w:rFonts w:ascii="Arial" w:eastAsia="Times New Roman" w:hAnsi="Arial" w:cs="Arial"/>
      <w:b/>
      <w:bCs/>
      <w:iCs/>
      <w:sz w:val="24"/>
      <w:szCs w:val="28"/>
    </w:rPr>
  </w:style>
  <w:style w:type="paragraph" w:styleId="Heading3">
    <w:name w:val="heading 3"/>
    <w:basedOn w:val="Normal"/>
    <w:next w:val="Normal"/>
    <w:link w:val="Heading3Char"/>
    <w:autoRedefine/>
    <w:uiPriority w:val="9"/>
    <w:unhideWhenUsed/>
    <w:rsid w:val="002028B8"/>
    <w:pPr>
      <w:keepNext/>
      <w:numPr>
        <w:ilvl w:val="12"/>
      </w:numPr>
      <w:spacing w:after="180" w:line="240" w:lineRule="auto"/>
      <w:jc w:val="both"/>
      <w:outlineLvl w:val="2"/>
    </w:pPr>
    <w:rPr>
      <w:rFonts w:ascii="Arial" w:eastAsia="Times New Roman" w:hAnsi="Arial" w:cs="Arial"/>
      <w:b/>
      <w:bCs/>
      <w:sz w:val="24"/>
      <w:szCs w:val="24"/>
    </w:rPr>
  </w:style>
  <w:style w:type="paragraph" w:styleId="Heading4">
    <w:name w:val="heading 4"/>
    <w:basedOn w:val="Normal"/>
    <w:next w:val="Normal"/>
    <w:link w:val="Heading4Char"/>
    <w:rsid w:val="00EB13D5"/>
    <w:pPr>
      <w:keepNext/>
      <w:numPr>
        <w:ilvl w:val="12"/>
      </w:numPr>
      <w:spacing w:before="240" w:after="60" w:line="240" w:lineRule="auto"/>
      <w:jc w:val="both"/>
      <w:outlineLvl w:val="3"/>
    </w:pPr>
    <w:rPr>
      <w:rFonts w:ascii="Arial" w:eastAsia="Times New Roman" w:hAnsi="Arial"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5AF"/>
    <w:rPr>
      <w:rFonts w:ascii="Arial" w:eastAsia="Times New Roman" w:hAnsi="Arial" w:cs="Arial"/>
      <w:b/>
      <w:bCs/>
      <w:color w:val="3C3C3C" w:themeColor="background1"/>
      <w:kern w:val="32"/>
      <w:lang w:eastAsia="en-AU"/>
    </w:rPr>
  </w:style>
  <w:style w:type="character" w:customStyle="1" w:styleId="Heading2Char">
    <w:name w:val="Heading 2 Char"/>
    <w:basedOn w:val="DefaultParagraphFont"/>
    <w:link w:val="Heading2"/>
    <w:uiPriority w:val="9"/>
    <w:rsid w:val="002028B8"/>
    <w:rPr>
      <w:rFonts w:ascii="Arial" w:eastAsia="Times New Roman" w:hAnsi="Arial" w:cs="Arial"/>
      <w:b/>
      <w:bCs/>
      <w:iCs/>
      <w:sz w:val="24"/>
      <w:szCs w:val="28"/>
    </w:rPr>
  </w:style>
  <w:style w:type="character" w:customStyle="1" w:styleId="Heading3Char">
    <w:name w:val="Heading 3 Char"/>
    <w:basedOn w:val="DefaultParagraphFont"/>
    <w:link w:val="Heading3"/>
    <w:uiPriority w:val="9"/>
    <w:rsid w:val="002028B8"/>
    <w:rPr>
      <w:rFonts w:ascii="Arial" w:eastAsia="Times New Roman" w:hAnsi="Arial" w:cs="Arial"/>
      <w:b/>
      <w:bCs/>
      <w:sz w:val="24"/>
      <w:szCs w:val="24"/>
    </w:rPr>
  </w:style>
  <w:style w:type="character" w:customStyle="1" w:styleId="Heading4Char">
    <w:name w:val="Heading 4 Char"/>
    <w:basedOn w:val="DefaultParagraphFont"/>
    <w:link w:val="Heading4"/>
    <w:rsid w:val="00EB13D5"/>
    <w:rPr>
      <w:rFonts w:ascii="Arial" w:eastAsia="Times New Roman" w:hAnsi="Arial" w:cs="Times New Roman"/>
      <w:b/>
      <w:bCs/>
      <w:sz w:val="28"/>
      <w:szCs w:val="28"/>
      <w:lang w:eastAsia="en-AU"/>
    </w:rPr>
  </w:style>
  <w:style w:type="paragraph" w:styleId="Header">
    <w:name w:val="header"/>
    <w:basedOn w:val="Normal"/>
    <w:link w:val="HeaderChar"/>
    <w:uiPriority w:val="99"/>
    <w:unhideWhenUsed/>
    <w:rsid w:val="00EB1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3D5"/>
    <w:rPr>
      <w:rFonts w:eastAsiaTheme="minorEastAsia"/>
      <w:lang w:eastAsia="en-AU"/>
    </w:rPr>
  </w:style>
  <w:style w:type="paragraph" w:styleId="Footer">
    <w:name w:val="footer"/>
    <w:basedOn w:val="Normal"/>
    <w:link w:val="FooterChar"/>
    <w:uiPriority w:val="99"/>
    <w:unhideWhenUsed/>
    <w:rsid w:val="00EB1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3D5"/>
    <w:rPr>
      <w:rFonts w:eastAsiaTheme="minorEastAsia"/>
      <w:lang w:eastAsia="en-AU"/>
    </w:rPr>
  </w:style>
  <w:style w:type="paragraph" w:styleId="ListParagraph">
    <w:name w:val="List Paragraph"/>
    <w:basedOn w:val="Normal"/>
    <w:uiPriority w:val="34"/>
    <w:rsid w:val="00EB13D5"/>
    <w:pPr>
      <w:ind w:left="720"/>
      <w:contextualSpacing/>
    </w:pPr>
  </w:style>
  <w:style w:type="character" w:customStyle="1" w:styleId="TextChar">
    <w:name w:val="Text Char"/>
    <w:basedOn w:val="DefaultParagraphFont"/>
    <w:link w:val="Text"/>
    <w:locked/>
    <w:rsid w:val="00A272D3"/>
    <w:rPr>
      <w:rFonts w:ascii="Arial" w:eastAsiaTheme="minorHAnsi" w:hAnsi="Arial" w:cs="Arial"/>
      <w:sz w:val="20"/>
      <w:lang w:eastAsia="en-US"/>
    </w:rPr>
  </w:style>
  <w:style w:type="paragraph" w:customStyle="1" w:styleId="Text">
    <w:name w:val="Text"/>
    <w:basedOn w:val="ListParagraph"/>
    <w:link w:val="TextChar"/>
    <w:qFormat/>
    <w:rsid w:val="00A272D3"/>
    <w:pPr>
      <w:spacing w:after="180" w:line="240" w:lineRule="auto"/>
      <w:ind w:left="0"/>
      <w:contextualSpacing w:val="0"/>
    </w:pPr>
    <w:rPr>
      <w:rFonts w:ascii="Arial" w:eastAsiaTheme="minorHAnsi" w:hAnsi="Arial" w:cs="Arial"/>
      <w:sz w:val="20"/>
      <w:lang w:eastAsia="en-US"/>
    </w:rPr>
  </w:style>
  <w:style w:type="character" w:customStyle="1" w:styleId="TextboldChar">
    <w:name w:val="Text bold Char"/>
    <w:basedOn w:val="TextChar"/>
    <w:link w:val="Textbold"/>
    <w:locked/>
    <w:rsid w:val="00EB1F94"/>
    <w:rPr>
      <w:rFonts w:ascii="Arial" w:eastAsia="Times New Roman" w:hAnsi="Arial" w:cs="Arial"/>
      <w:b/>
      <w:bCs/>
      <w:color w:val="E72371" w:themeColor="text1"/>
      <w:kern w:val="32"/>
      <w:sz w:val="24"/>
      <w:szCs w:val="28"/>
      <w:lang w:eastAsia="en-US"/>
    </w:rPr>
  </w:style>
  <w:style w:type="paragraph" w:customStyle="1" w:styleId="Textbold">
    <w:name w:val="Text bold"/>
    <w:basedOn w:val="Sub-heading"/>
    <w:next w:val="Heading2"/>
    <w:link w:val="TextboldChar"/>
    <w:qFormat/>
    <w:rsid w:val="00EB1F94"/>
    <w:pPr>
      <w:spacing w:before="0" w:after="180"/>
    </w:pPr>
    <w:rPr>
      <w:sz w:val="24"/>
    </w:rPr>
  </w:style>
  <w:style w:type="character" w:customStyle="1" w:styleId="HeadingChar">
    <w:name w:val="Heading Char"/>
    <w:basedOn w:val="TextboldChar"/>
    <w:link w:val="Heading"/>
    <w:locked/>
    <w:rsid w:val="00165068"/>
    <w:rPr>
      <w:rFonts w:ascii="Arial" w:eastAsia="Times New Roman" w:hAnsi="Arial" w:cs="Arial"/>
      <w:b/>
      <w:bCs/>
      <w:color w:val="3C3C3C" w:themeColor="background1"/>
      <w:spacing w:val="-10"/>
      <w:w w:val="95"/>
      <w:kern w:val="32"/>
      <w:sz w:val="36"/>
      <w:szCs w:val="44"/>
      <w:lang w:eastAsia="en-US"/>
    </w:rPr>
  </w:style>
  <w:style w:type="paragraph" w:customStyle="1" w:styleId="Heading">
    <w:name w:val="Heading"/>
    <w:basedOn w:val="Textbold"/>
    <w:link w:val="HeadingChar"/>
    <w:rsid w:val="00165068"/>
    <w:pPr>
      <w:spacing w:before="120" w:after="480" w:line="500" w:lineRule="exact"/>
    </w:pPr>
    <w:rPr>
      <w:spacing w:val="-10"/>
      <w:w w:val="95"/>
      <w:sz w:val="36"/>
      <w:szCs w:val="44"/>
    </w:rPr>
  </w:style>
  <w:style w:type="character" w:customStyle="1" w:styleId="Sub-headingChar">
    <w:name w:val="Sub-heading Char"/>
    <w:basedOn w:val="TextChar"/>
    <w:link w:val="Sub-heading"/>
    <w:locked/>
    <w:rsid w:val="00970D99"/>
    <w:rPr>
      <w:rFonts w:ascii="Arial" w:eastAsia="Times New Roman" w:hAnsi="Arial" w:cs="Arial"/>
      <w:b/>
      <w:bCs/>
      <w:color w:val="3C3C3C" w:themeColor="background1"/>
      <w:kern w:val="32"/>
      <w:sz w:val="28"/>
      <w:szCs w:val="28"/>
      <w:lang w:eastAsia="en-US"/>
    </w:rPr>
  </w:style>
  <w:style w:type="paragraph" w:customStyle="1" w:styleId="Sub-heading">
    <w:name w:val="Sub-heading"/>
    <w:basedOn w:val="Heading1"/>
    <w:link w:val="Sub-headingChar"/>
    <w:qFormat/>
    <w:rsid w:val="00970D99"/>
    <w:pPr>
      <w:spacing w:before="360" w:after="120"/>
      <w:ind w:left="0"/>
    </w:pPr>
    <w:rPr>
      <w:sz w:val="28"/>
      <w:szCs w:val="28"/>
      <w:lang w:eastAsia="en-US"/>
    </w:rPr>
  </w:style>
  <w:style w:type="character" w:styleId="SubtleEmphasis">
    <w:name w:val="Subtle Emphasis"/>
    <w:basedOn w:val="DefaultParagraphFont"/>
    <w:uiPriority w:val="19"/>
    <w:rsid w:val="00EB13D5"/>
    <w:rPr>
      <w:i/>
      <w:iCs/>
      <w:color w:val="F391B7" w:themeColor="text1" w:themeTint="7F"/>
    </w:rPr>
  </w:style>
  <w:style w:type="paragraph" w:styleId="BalloonText">
    <w:name w:val="Balloon Text"/>
    <w:basedOn w:val="Normal"/>
    <w:link w:val="BalloonTextChar"/>
    <w:semiHidden/>
    <w:unhideWhenUsed/>
    <w:rsid w:val="00EB1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B13D5"/>
    <w:rPr>
      <w:rFonts w:ascii="Tahoma" w:eastAsiaTheme="minorEastAsia" w:hAnsi="Tahoma" w:cs="Tahoma"/>
      <w:sz w:val="16"/>
      <w:szCs w:val="16"/>
      <w:lang w:eastAsia="en-AU"/>
    </w:rPr>
  </w:style>
  <w:style w:type="character" w:styleId="Hyperlink">
    <w:name w:val="Hyperlink"/>
    <w:basedOn w:val="DefaultParagraphFont"/>
    <w:uiPriority w:val="99"/>
    <w:unhideWhenUsed/>
    <w:rsid w:val="00EB13D5"/>
    <w:rPr>
      <w:color w:val="3C3C3C" w:themeColor="hyperlink"/>
      <w:u w:val="single"/>
    </w:rPr>
  </w:style>
  <w:style w:type="paragraph" w:customStyle="1" w:styleId="Bullet1">
    <w:name w:val="Bullet #1"/>
    <w:basedOn w:val="Text"/>
    <w:link w:val="Bullet1Char"/>
    <w:qFormat/>
    <w:rsid w:val="005605A2"/>
    <w:pPr>
      <w:numPr>
        <w:numId w:val="5"/>
      </w:numPr>
      <w:spacing w:after="60"/>
      <w:ind w:left="357" w:hanging="357"/>
    </w:pPr>
  </w:style>
  <w:style w:type="character" w:customStyle="1" w:styleId="Bullet1Char">
    <w:name w:val="Bullet #1 Char"/>
    <w:basedOn w:val="TextChar"/>
    <w:link w:val="Bullet1"/>
    <w:rsid w:val="005605A2"/>
    <w:rPr>
      <w:rFonts w:ascii="Arial" w:eastAsiaTheme="minorHAnsi" w:hAnsi="Arial" w:cs="Arial"/>
      <w:color w:val="3C3C3C" w:themeColor="background1"/>
      <w:sz w:val="20"/>
      <w:lang w:eastAsia="en-US"/>
    </w:rPr>
  </w:style>
  <w:style w:type="paragraph" w:customStyle="1" w:styleId="Superscripttext">
    <w:name w:val="Superscript text"/>
    <w:basedOn w:val="Text"/>
    <w:link w:val="SuperscripttextChar"/>
    <w:rsid w:val="00EB13D5"/>
    <w:pPr>
      <w:tabs>
        <w:tab w:val="left" w:pos="426"/>
      </w:tabs>
      <w:spacing w:after="60" w:line="200" w:lineRule="exact"/>
      <w:ind w:left="425" w:hanging="425"/>
    </w:pPr>
    <w:rPr>
      <w:sz w:val="14"/>
      <w:szCs w:val="16"/>
    </w:rPr>
  </w:style>
  <w:style w:type="character" w:customStyle="1" w:styleId="SuperscripttextChar">
    <w:name w:val="Superscript text Char"/>
    <w:basedOn w:val="TextChar"/>
    <w:link w:val="Superscripttext"/>
    <w:rsid w:val="00EB13D5"/>
    <w:rPr>
      <w:rFonts w:ascii="Arial" w:eastAsiaTheme="minorHAnsi" w:hAnsi="Arial" w:cs="Arial"/>
      <w:color w:val="3C3C3C" w:themeColor="background1"/>
      <w:sz w:val="14"/>
      <w:szCs w:val="16"/>
      <w:lang w:eastAsia="en-US"/>
    </w:rPr>
  </w:style>
  <w:style w:type="table" w:styleId="TableGrid">
    <w:name w:val="Table Grid"/>
    <w:basedOn w:val="TableNormal"/>
    <w:uiPriority w:val="59"/>
    <w:rsid w:val="00EB1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Text"/>
    <w:link w:val="TableheadingsChar"/>
    <w:qFormat/>
    <w:rsid w:val="0093256A"/>
    <w:pPr>
      <w:spacing w:before="80" w:after="80"/>
    </w:pPr>
    <w:rPr>
      <w:b/>
      <w:color w:val="FFFFFF" w:themeColor="accent6"/>
    </w:rPr>
  </w:style>
  <w:style w:type="character" w:customStyle="1" w:styleId="TableheadingsChar">
    <w:name w:val="Table headings Char"/>
    <w:basedOn w:val="TextChar"/>
    <w:link w:val="Tableheadings"/>
    <w:rsid w:val="0093256A"/>
    <w:rPr>
      <w:rFonts w:ascii="Arial" w:eastAsiaTheme="minorHAnsi" w:hAnsi="Arial" w:cs="Arial"/>
      <w:b/>
      <w:color w:val="FFFFFF" w:themeColor="accent6"/>
      <w:sz w:val="20"/>
      <w:lang w:eastAsia="en-US"/>
    </w:rPr>
  </w:style>
  <w:style w:type="paragraph" w:customStyle="1" w:styleId="Tabletext">
    <w:name w:val="Table text"/>
    <w:basedOn w:val="Text"/>
    <w:link w:val="TabletextChar"/>
    <w:qFormat/>
    <w:rsid w:val="0093256A"/>
    <w:pPr>
      <w:spacing w:before="40" w:after="40"/>
    </w:pPr>
  </w:style>
  <w:style w:type="character" w:customStyle="1" w:styleId="TabletextChar">
    <w:name w:val="Table text Char"/>
    <w:basedOn w:val="TextChar"/>
    <w:link w:val="Tabletext"/>
    <w:rsid w:val="0093256A"/>
    <w:rPr>
      <w:rFonts w:ascii="Arial" w:eastAsiaTheme="minorHAnsi" w:hAnsi="Arial" w:cs="Arial"/>
      <w:color w:val="3C3C3C" w:themeColor="background1"/>
      <w:sz w:val="20"/>
      <w:lang w:eastAsia="en-US"/>
    </w:rPr>
  </w:style>
  <w:style w:type="paragraph" w:customStyle="1" w:styleId="Figure">
    <w:name w:val="Figure"/>
    <w:basedOn w:val="Header"/>
    <w:rsid w:val="00EB13D5"/>
    <w:pPr>
      <w:numPr>
        <w:numId w:val="1"/>
      </w:numPr>
      <w:tabs>
        <w:tab w:val="clear" w:pos="4680"/>
        <w:tab w:val="clear" w:pos="9360"/>
      </w:tabs>
    </w:pPr>
    <w:rPr>
      <w:rFonts w:ascii="Times New Roman" w:eastAsia="Times New Roman" w:hAnsi="Times New Roman" w:cs="Times New Roman"/>
      <w:sz w:val="24"/>
      <w:szCs w:val="24"/>
    </w:rPr>
  </w:style>
  <w:style w:type="character" w:styleId="PageNumber">
    <w:name w:val="page number"/>
    <w:basedOn w:val="DefaultParagraphFont"/>
    <w:rsid w:val="00EB13D5"/>
  </w:style>
  <w:style w:type="paragraph" w:styleId="BodyText">
    <w:name w:val="Body Text"/>
    <w:basedOn w:val="Normal"/>
    <w:link w:val="BodyTextChar"/>
    <w:rsid w:val="00EB13D5"/>
    <w:pPr>
      <w:numPr>
        <w:ilvl w:val="12"/>
      </w:numPr>
      <w:spacing w:before="100" w:beforeAutospacing="1" w:after="100" w:afterAutospacing="1"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EB13D5"/>
    <w:rPr>
      <w:rFonts w:ascii="Arial" w:eastAsia="Times New Roman" w:hAnsi="Arial" w:cs="Times New Roman"/>
      <w:szCs w:val="24"/>
      <w:lang w:eastAsia="en-AU"/>
    </w:rPr>
  </w:style>
  <w:style w:type="character" w:styleId="Emphasis">
    <w:name w:val="Emphasis"/>
    <w:basedOn w:val="DefaultParagraphFont"/>
    <w:uiPriority w:val="20"/>
    <w:rsid w:val="00EB13D5"/>
    <w:rPr>
      <w:i/>
      <w:iCs/>
    </w:rPr>
  </w:style>
  <w:style w:type="paragraph" w:styleId="Title">
    <w:name w:val="Title"/>
    <w:basedOn w:val="Normal"/>
    <w:next w:val="Normal"/>
    <w:link w:val="TitleChar"/>
    <w:uiPriority w:val="10"/>
    <w:rsid w:val="00EB13D5"/>
    <w:pPr>
      <w:numPr>
        <w:ilvl w:val="12"/>
      </w:numPr>
      <w:spacing w:before="240" w:beforeAutospacing="1" w:after="60" w:afterAutospacing="1" w:line="240" w:lineRule="auto"/>
      <w:jc w:val="center"/>
      <w:outlineLvl w:val="0"/>
    </w:pPr>
    <w:rPr>
      <w:rFonts w:ascii="Arial Black" w:eastAsia="Times New Roman" w:hAnsi="Arial Black" w:cs="Times New Roman"/>
      <w:b/>
      <w:bCs/>
      <w:kern w:val="28"/>
      <w:sz w:val="32"/>
      <w:szCs w:val="32"/>
    </w:rPr>
  </w:style>
  <w:style w:type="character" w:customStyle="1" w:styleId="TitleChar">
    <w:name w:val="Title Char"/>
    <w:basedOn w:val="DefaultParagraphFont"/>
    <w:link w:val="Title"/>
    <w:uiPriority w:val="10"/>
    <w:rsid w:val="00EB13D5"/>
    <w:rPr>
      <w:rFonts w:ascii="Arial Black" w:eastAsia="Times New Roman" w:hAnsi="Arial Black" w:cs="Times New Roman"/>
      <w:b/>
      <w:bCs/>
      <w:kern w:val="28"/>
      <w:sz w:val="32"/>
      <w:szCs w:val="32"/>
      <w:lang w:eastAsia="en-AU"/>
    </w:rPr>
  </w:style>
  <w:style w:type="paragraph" w:styleId="NormalWeb">
    <w:name w:val="Normal (Web)"/>
    <w:basedOn w:val="Normal"/>
    <w:uiPriority w:val="99"/>
    <w:unhideWhenUsed/>
    <w:rsid w:val="00EB13D5"/>
    <w:pPr>
      <w:numPr>
        <w:ilvl w:val="12"/>
      </w:numPr>
      <w:spacing w:before="100" w:beforeAutospacing="1" w:after="100" w:afterAutospacing="1" w:line="240" w:lineRule="auto"/>
      <w:jc w:val="both"/>
    </w:pPr>
    <w:rPr>
      <w:rFonts w:ascii="Arial" w:eastAsia="Times New Roman" w:hAnsi="Arial" w:cs="Times New Roman"/>
      <w:szCs w:val="24"/>
    </w:rPr>
  </w:style>
  <w:style w:type="paragraph" w:styleId="FootnoteText">
    <w:name w:val="footnote text"/>
    <w:basedOn w:val="Normal"/>
    <w:link w:val="FootnoteTextChar"/>
    <w:unhideWhenUsed/>
    <w:rsid w:val="00EB13D5"/>
    <w:pPr>
      <w:numPr>
        <w:ilvl w:val="12"/>
      </w:numPr>
      <w:spacing w:before="100" w:beforeAutospacing="1" w:after="100" w:afterAutospacing="1" w:line="240" w:lineRule="auto"/>
      <w:jc w:val="both"/>
    </w:pPr>
    <w:rPr>
      <w:rFonts w:ascii="Arial" w:eastAsia="Calibri" w:hAnsi="Arial" w:cs="Times New Roman"/>
      <w:sz w:val="20"/>
      <w:szCs w:val="20"/>
    </w:rPr>
  </w:style>
  <w:style w:type="character" w:customStyle="1" w:styleId="FootnoteTextChar">
    <w:name w:val="Footnote Text Char"/>
    <w:basedOn w:val="DefaultParagraphFont"/>
    <w:link w:val="FootnoteText"/>
    <w:rsid w:val="00EB13D5"/>
    <w:rPr>
      <w:rFonts w:ascii="Arial" w:eastAsia="Calibri" w:hAnsi="Arial" w:cs="Times New Roman"/>
      <w:sz w:val="20"/>
      <w:szCs w:val="20"/>
      <w:lang w:eastAsia="en-AU"/>
    </w:rPr>
  </w:style>
  <w:style w:type="character" w:styleId="FootnoteReference">
    <w:name w:val="footnote reference"/>
    <w:basedOn w:val="DefaultParagraphFont"/>
    <w:unhideWhenUsed/>
    <w:rsid w:val="00EB13D5"/>
    <w:rPr>
      <w:vertAlign w:val="superscript"/>
    </w:rPr>
  </w:style>
  <w:style w:type="paragraph" w:styleId="PlainText">
    <w:name w:val="Plain Text"/>
    <w:basedOn w:val="Normal"/>
    <w:link w:val="PlainTextChar"/>
    <w:uiPriority w:val="99"/>
    <w:unhideWhenUsed/>
    <w:rsid w:val="00EB13D5"/>
    <w:pPr>
      <w:numPr>
        <w:ilvl w:val="12"/>
      </w:numPr>
      <w:spacing w:after="0" w:line="240" w:lineRule="auto"/>
      <w:jc w:val="both"/>
    </w:pPr>
    <w:rPr>
      <w:rFonts w:ascii="Trebuchet MS" w:eastAsia="Calibri" w:hAnsi="Trebuchet MS" w:cs="Times New Roman"/>
      <w:szCs w:val="21"/>
    </w:rPr>
  </w:style>
  <w:style w:type="character" w:customStyle="1" w:styleId="PlainTextChar">
    <w:name w:val="Plain Text Char"/>
    <w:basedOn w:val="DefaultParagraphFont"/>
    <w:link w:val="PlainText"/>
    <w:uiPriority w:val="99"/>
    <w:rsid w:val="00EB13D5"/>
    <w:rPr>
      <w:rFonts w:ascii="Trebuchet MS" w:eastAsia="Calibri" w:hAnsi="Trebuchet MS" w:cs="Times New Roman"/>
      <w:szCs w:val="21"/>
      <w:lang w:eastAsia="en-AU"/>
    </w:rPr>
  </w:style>
  <w:style w:type="paragraph" w:styleId="TOC1">
    <w:name w:val="toc 1"/>
    <w:basedOn w:val="Normal"/>
    <w:next w:val="Normal"/>
    <w:autoRedefine/>
    <w:uiPriority w:val="39"/>
    <w:unhideWhenUsed/>
    <w:rsid w:val="00D2192C"/>
    <w:pPr>
      <w:numPr>
        <w:ilvl w:val="12"/>
      </w:numPr>
      <w:tabs>
        <w:tab w:val="right" w:leader="dot" w:pos="9356"/>
      </w:tabs>
      <w:spacing w:before="100" w:beforeAutospacing="1" w:after="100" w:afterAutospacing="1" w:line="240" w:lineRule="auto"/>
      <w:ind w:right="227"/>
    </w:pPr>
    <w:rPr>
      <w:rFonts w:ascii="Arial" w:eastAsia="Calibri" w:hAnsi="Arial" w:cs="Times New Roman"/>
    </w:rPr>
  </w:style>
  <w:style w:type="paragraph" w:styleId="TOC2">
    <w:name w:val="toc 2"/>
    <w:basedOn w:val="Normal"/>
    <w:next w:val="Normal"/>
    <w:autoRedefine/>
    <w:uiPriority w:val="39"/>
    <w:unhideWhenUsed/>
    <w:rsid w:val="00D2192C"/>
    <w:pPr>
      <w:numPr>
        <w:ilvl w:val="12"/>
      </w:numPr>
      <w:tabs>
        <w:tab w:val="right" w:leader="dot" w:pos="9356"/>
      </w:tabs>
      <w:spacing w:before="100" w:beforeAutospacing="1" w:after="100" w:afterAutospacing="1" w:line="240" w:lineRule="auto"/>
      <w:ind w:left="220"/>
      <w:jc w:val="both"/>
    </w:pPr>
    <w:rPr>
      <w:rFonts w:ascii="Arial" w:eastAsia="Calibri" w:hAnsi="Arial" w:cs="Times New Roman"/>
    </w:rPr>
  </w:style>
  <w:style w:type="character" w:customStyle="1" w:styleId="termtitle1">
    <w:name w:val="term_title1"/>
    <w:basedOn w:val="DefaultParagraphFont"/>
    <w:rsid w:val="00EB13D5"/>
    <w:rPr>
      <w:rFonts w:ascii="Arial" w:hAnsi="Arial" w:cs="Arial" w:hint="default"/>
      <w:b/>
      <w:bCs/>
      <w:color w:val="003BB0"/>
      <w:sz w:val="21"/>
      <w:szCs w:val="21"/>
    </w:rPr>
  </w:style>
  <w:style w:type="paragraph" w:styleId="NoSpacing">
    <w:name w:val="No Spacing"/>
    <w:uiPriority w:val="1"/>
    <w:rsid w:val="00EB13D5"/>
    <w:pPr>
      <w:spacing w:after="0" w:line="240" w:lineRule="auto"/>
    </w:pPr>
    <w:rPr>
      <w:rFonts w:ascii="Arial" w:eastAsia="Calibri" w:hAnsi="Arial" w:cs="Times New Roman"/>
      <w:sz w:val="20"/>
    </w:rPr>
  </w:style>
  <w:style w:type="paragraph" w:styleId="TOC3">
    <w:name w:val="toc 3"/>
    <w:basedOn w:val="Normal"/>
    <w:next w:val="Normal"/>
    <w:autoRedefine/>
    <w:uiPriority w:val="39"/>
    <w:unhideWhenUsed/>
    <w:rsid w:val="0002345A"/>
    <w:pPr>
      <w:numPr>
        <w:ilvl w:val="12"/>
      </w:numPr>
      <w:tabs>
        <w:tab w:val="right" w:leader="dot" w:pos="9629"/>
      </w:tabs>
      <w:spacing w:before="100" w:beforeAutospacing="1" w:after="100" w:afterAutospacing="1" w:line="240" w:lineRule="auto"/>
      <w:ind w:left="440"/>
      <w:jc w:val="both"/>
    </w:pPr>
    <w:rPr>
      <w:rFonts w:ascii="Arial" w:eastAsia="Calibri" w:hAnsi="Arial" w:cs="Times New Roman"/>
    </w:rPr>
  </w:style>
  <w:style w:type="character" w:styleId="Strong">
    <w:name w:val="Strong"/>
    <w:basedOn w:val="DefaultParagraphFont"/>
    <w:uiPriority w:val="22"/>
    <w:qFormat/>
    <w:rsid w:val="00EB13D5"/>
    <w:rPr>
      <w:b/>
      <w:bCs/>
    </w:rPr>
  </w:style>
  <w:style w:type="character" w:customStyle="1" w:styleId="content1">
    <w:name w:val="content1"/>
    <w:basedOn w:val="DefaultParagraphFont"/>
    <w:rsid w:val="00EB13D5"/>
    <w:rPr>
      <w:rFonts w:ascii="Arial" w:hAnsi="Arial" w:cs="Arial" w:hint="default"/>
      <w:color w:val="666666"/>
      <w:sz w:val="18"/>
      <w:szCs w:val="18"/>
    </w:rPr>
  </w:style>
  <w:style w:type="paragraph" w:styleId="TOCHeading">
    <w:name w:val="TOC Heading"/>
    <w:basedOn w:val="Heading1"/>
    <w:next w:val="Normal"/>
    <w:uiPriority w:val="39"/>
    <w:unhideWhenUsed/>
    <w:rsid w:val="00EB13D5"/>
    <w:pPr>
      <w:keepLines/>
      <w:spacing w:before="480" w:after="0" w:line="276" w:lineRule="auto"/>
      <w:jc w:val="left"/>
      <w:outlineLvl w:val="9"/>
    </w:pPr>
    <w:rPr>
      <w:rFonts w:ascii="Cambria" w:hAnsi="Cambria" w:cs="Times New Roman"/>
      <w:color w:val="365F91"/>
      <w:kern w:val="0"/>
      <w:szCs w:val="28"/>
      <w:lang w:val="en-US" w:eastAsia="en-US"/>
    </w:rPr>
  </w:style>
  <w:style w:type="paragraph" w:styleId="EndnoteText">
    <w:name w:val="endnote text"/>
    <w:basedOn w:val="Normal"/>
    <w:link w:val="EndnoteTextChar"/>
    <w:uiPriority w:val="99"/>
    <w:unhideWhenUsed/>
    <w:rsid w:val="00EB13D5"/>
    <w:pPr>
      <w:numPr>
        <w:ilvl w:val="12"/>
      </w:numPr>
      <w:spacing w:beforeAutospacing="1" w:after="0" w:afterAutospacing="1" w:line="240" w:lineRule="auto"/>
    </w:pPr>
    <w:rPr>
      <w:rFonts w:ascii="Arial" w:eastAsia="Calibri" w:hAnsi="Arial" w:cs="Times New Roman"/>
      <w:szCs w:val="20"/>
    </w:rPr>
  </w:style>
  <w:style w:type="character" w:customStyle="1" w:styleId="EndnoteTextChar">
    <w:name w:val="Endnote Text Char"/>
    <w:basedOn w:val="DefaultParagraphFont"/>
    <w:link w:val="EndnoteText"/>
    <w:uiPriority w:val="99"/>
    <w:rsid w:val="00EB13D5"/>
    <w:rPr>
      <w:rFonts w:ascii="Arial" w:eastAsia="Calibri" w:hAnsi="Arial" w:cs="Times New Roman"/>
      <w:szCs w:val="20"/>
      <w:lang w:eastAsia="en-AU"/>
    </w:rPr>
  </w:style>
  <w:style w:type="character" w:styleId="EndnoteReference">
    <w:name w:val="endnote reference"/>
    <w:basedOn w:val="DefaultParagraphFont"/>
    <w:uiPriority w:val="99"/>
    <w:unhideWhenUsed/>
    <w:rsid w:val="00EB13D5"/>
    <w:rPr>
      <w:vertAlign w:val="superscript"/>
    </w:rPr>
  </w:style>
  <w:style w:type="character" w:customStyle="1" w:styleId="head2">
    <w:name w:val="head2"/>
    <w:basedOn w:val="DefaultParagraphFont"/>
    <w:rsid w:val="00EB13D5"/>
    <w:rPr>
      <w:b/>
      <w:bCs/>
      <w:color w:val="000000"/>
      <w:sz w:val="21"/>
      <w:szCs w:val="21"/>
    </w:rPr>
  </w:style>
  <w:style w:type="paragraph" w:styleId="Revision">
    <w:name w:val="Revision"/>
    <w:hidden/>
    <w:uiPriority w:val="99"/>
    <w:semiHidden/>
    <w:rsid w:val="00EB13D5"/>
    <w:pPr>
      <w:spacing w:after="0" w:line="240" w:lineRule="auto"/>
    </w:pPr>
    <w:rPr>
      <w:rFonts w:ascii="Arial" w:eastAsia="Times New Roman" w:hAnsi="Arial" w:cs="Times New Roman"/>
      <w:sz w:val="20"/>
      <w:szCs w:val="24"/>
    </w:rPr>
  </w:style>
  <w:style w:type="paragraph" w:styleId="Quote">
    <w:name w:val="Quote"/>
    <w:basedOn w:val="Normal"/>
    <w:next w:val="Normal"/>
    <w:link w:val="QuoteChar"/>
    <w:uiPriority w:val="29"/>
    <w:rsid w:val="00EB13D5"/>
    <w:pPr>
      <w:numPr>
        <w:ilvl w:val="12"/>
      </w:numPr>
      <w:spacing w:after="0" w:line="240" w:lineRule="auto"/>
    </w:pPr>
    <w:rPr>
      <w:rFonts w:ascii="Arial" w:eastAsia="Times New Roman" w:hAnsi="Arial" w:cs="Times New Roman"/>
      <w:iCs/>
      <w:color w:val="000000"/>
      <w:sz w:val="18"/>
      <w:szCs w:val="24"/>
    </w:rPr>
  </w:style>
  <w:style w:type="character" w:customStyle="1" w:styleId="QuoteChar">
    <w:name w:val="Quote Char"/>
    <w:basedOn w:val="DefaultParagraphFont"/>
    <w:link w:val="Quote"/>
    <w:uiPriority w:val="29"/>
    <w:rsid w:val="00EB13D5"/>
    <w:rPr>
      <w:rFonts w:ascii="Arial" w:eastAsia="Times New Roman" w:hAnsi="Arial" w:cs="Times New Roman"/>
      <w:iCs/>
      <w:color w:val="000000"/>
      <w:sz w:val="18"/>
      <w:szCs w:val="24"/>
      <w:lang w:eastAsia="en-AU"/>
    </w:rPr>
  </w:style>
  <w:style w:type="paragraph" w:styleId="BodyText2">
    <w:name w:val="Body Text 2"/>
    <w:basedOn w:val="Normal"/>
    <w:link w:val="BodyText2Char"/>
    <w:rsid w:val="00EB13D5"/>
    <w:pPr>
      <w:numPr>
        <w:ilvl w:val="12"/>
      </w:numPr>
      <w:spacing w:after="120" w:line="480" w:lineRule="auto"/>
      <w:jc w:val="both"/>
    </w:pPr>
    <w:rPr>
      <w:rFonts w:ascii="Arial" w:eastAsia="Times New Roman" w:hAnsi="Arial" w:cs="Times New Roman"/>
      <w:szCs w:val="24"/>
    </w:rPr>
  </w:style>
  <w:style w:type="character" w:customStyle="1" w:styleId="BodyText2Char">
    <w:name w:val="Body Text 2 Char"/>
    <w:basedOn w:val="DefaultParagraphFont"/>
    <w:link w:val="BodyText2"/>
    <w:rsid w:val="00EB13D5"/>
    <w:rPr>
      <w:rFonts w:ascii="Arial" w:eastAsia="Times New Roman" w:hAnsi="Arial" w:cs="Times New Roman"/>
      <w:szCs w:val="24"/>
      <w:lang w:eastAsia="en-AU"/>
    </w:rPr>
  </w:style>
  <w:style w:type="table" w:styleId="MediumGrid3-Accent1">
    <w:name w:val="Medium Grid 3 Accent 1"/>
    <w:basedOn w:val="TableNormal"/>
    <w:uiPriority w:val="69"/>
    <w:rsid w:val="00EB13D5"/>
    <w:pPr>
      <w:spacing w:after="0" w:line="240" w:lineRule="auto"/>
    </w:pPr>
    <w:tblPr>
      <w:tblStyleRowBandSize w:val="1"/>
      <w:tblStyleColBandSize w:val="1"/>
      <w:tblBorders>
        <w:top w:val="single" w:sz="8" w:space="0" w:color="3C3C3C" w:themeColor="background1"/>
        <w:left w:val="single" w:sz="8" w:space="0" w:color="3C3C3C" w:themeColor="background1"/>
        <w:bottom w:val="single" w:sz="8" w:space="0" w:color="3C3C3C" w:themeColor="background1"/>
        <w:right w:val="single" w:sz="8" w:space="0" w:color="3C3C3C" w:themeColor="background1"/>
        <w:insideH w:val="single" w:sz="6" w:space="0" w:color="3C3C3C" w:themeColor="background1"/>
        <w:insideV w:val="single" w:sz="6" w:space="0" w:color="3C3C3C" w:themeColor="background1"/>
      </w:tblBorders>
    </w:tblPr>
    <w:tcPr>
      <w:shd w:val="clear" w:color="auto" w:fill="F5F5F5" w:themeFill="accent1" w:themeFillTint="3F"/>
    </w:tcPr>
    <w:tblStylePr w:type="firstRow">
      <w:rPr>
        <w:b/>
        <w:bCs/>
        <w:i w:val="0"/>
        <w:iCs w:val="0"/>
        <w:color w:val="3C3C3C" w:themeColor="background1"/>
      </w:rPr>
      <w:tblPr/>
      <w:tcPr>
        <w:tcBorders>
          <w:top w:val="single" w:sz="8" w:space="0" w:color="3C3C3C" w:themeColor="background1"/>
          <w:left w:val="single" w:sz="8" w:space="0" w:color="3C3C3C" w:themeColor="background1"/>
          <w:bottom w:val="single" w:sz="24" w:space="0" w:color="3C3C3C" w:themeColor="background1"/>
          <w:right w:val="single" w:sz="8" w:space="0" w:color="3C3C3C" w:themeColor="background1"/>
          <w:insideH w:val="nil"/>
          <w:insideV w:val="single" w:sz="8" w:space="0" w:color="3C3C3C" w:themeColor="background1"/>
        </w:tcBorders>
        <w:shd w:val="clear" w:color="auto" w:fill="DADADA" w:themeFill="accent1"/>
      </w:tcPr>
    </w:tblStylePr>
    <w:tblStylePr w:type="lastRow">
      <w:rPr>
        <w:b/>
        <w:bCs/>
        <w:i w:val="0"/>
        <w:iCs w:val="0"/>
        <w:color w:val="3C3C3C" w:themeColor="background1"/>
      </w:rPr>
      <w:tblPr/>
      <w:tcPr>
        <w:tcBorders>
          <w:top w:val="single" w:sz="24" w:space="0" w:color="3C3C3C" w:themeColor="background1"/>
          <w:left w:val="single" w:sz="8" w:space="0" w:color="3C3C3C" w:themeColor="background1"/>
          <w:bottom w:val="single" w:sz="8" w:space="0" w:color="3C3C3C" w:themeColor="background1"/>
          <w:right w:val="single" w:sz="8" w:space="0" w:color="3C3C3C" w:themeColor="background1"/>
          <w:insideH w:val="nil"/>
          <w:insideV w:val="single" w:sz="8" w:space="0" w:color="3C3C3C" w:themeColor="background1"/>
        </w:tcBorders>
        <w:shd w:val="clear" w:color="auto" w:fill="DADADA" w:themeFill="accent1"/>
      </w:tcPr>
    </w:tblStylePr>
    <w:tblStylePr w:type="firstCol">
      <w:rPr>
        <w:b/>
        <w:bCs/>
        <w:i w:val="0"/>
        <w:iCs w:val="0"/>
        <w:color w:val="3C3C3C" w:themeColor="background1"/>
      </w:rPr>
      <w:tblPr/>
      <w:tcPr>
        <w:tcBorders>
          <w:left w:val="single" w:sz="8" w:space="0" w:color="3C3C3C" w:themeColor="background1"/>
          <w:right w:val="single" w:sz="24" w:space="0" w:color="3C3C3C" w:themeColor="background1"/>
          <w:insideH w:val="nil"/>
          <w:insideV w:val="nil"/>
        </w:tcBorders>
        <w:shd w:val="clear" w:color="auto" w:fill="DADADA" w:themeFill="accent1"/>
      </w:tcPr>
    </w:tblStylePr>
    <w:tblStylePr w:type="lastCol">
      <w:rPr>
        <w:b/>
        <w:bCs/>
        <w:i w:val="0"/>
        <w:iCs w:val="0"/>
        <w:color w:val="3C3C3C" w:themeColor="background1"/>
      </w:rPr>
      <w:tblPr/>
      <w:tcPr>
        <w:tcBorders>
          <w:top w:val="nil"/>
          <w:left w:val="single" w:sz="24" w:space="0" w:color="3C3C3C" w:themeColor="background1"/>
          <w:bottom w:val="nil"/>
          <w:right w:val="nil"/>
          <w:insideH w:val="nil"/>
          <w:insideV w:val="nil"/>
        </w:tcBorders>
        <w:shd w:val="clear" w:color="auto" w:fill="DADADA" w:themeFill="accent1"/>
      </w:tcPr>
    </w:tblStylePr>
    <w:tblStylePr w:type="band1Vert">
      <w:tblPr/>
      <w:tcPr>
        <w:tcBorders>
          <w:top w:val="single" w:sz="8" w:space="0" w:color="3C3C3C" w:themeColor="background1"/>
          <w:left w:val="single" w:sz="8" w:space="0" w:color="3C3C3C" w:themeColor="background1"/>
          <w:bottom w:val="single" w:sz="8" w:space="0" w:color="3C3C3C" w:themeColor="background1"/>
          <w:right w:val="single" w:sz="8" w:space="0" w:color="3C3C3C" w:themeColor="background1"/>
          <w:insideH w:val="nil"/>
          <w:insideV w:val="nil"/>
        </w:tcBorders>
        <w:shd w:val="clear" w:color="auto" w:fill="ECECEC" w:themeFill="accent1" w:themeFillTint="7F"/>
      </w:tcPr>
    </w:tblStylePr>
    <w:tblStylePr w:type="band1Horz">
      <w:tblPr/>
      <w:tcPr>
        <w:tcBorders>
          <w:top w:val="single" w:sz="8" w:space="0" w:color="3C3C3C" w:themeColor="background1"/>
          <w:left w:val="single" w:sz="8" w:space="0" w:color="3C3C3C" w:themeColor="background1"/>
          <w:bottom w:val="single" w:sz="8" w:space="0" w:color="3C3C3C" w:themeColor="background1"/>
          <w:right w:val="single" w:sz="8" w:space="0" w:color="3C3C3C" w:themeColor="background1"/>
          <w:insideH w:val="single" w:sz="8" w:space="0" w:color="3C3C3C" w:themeColor="background1"/>
          <w:insideV w:val="single" w:sz="8" w:space="0" w:color="3C3C3C" w:themeColor="background1"/>
        </w:tcBorders>
        <w:shd w:val="clear" w:color="auto" w:fill="ECECEC" w:themeFill="accent1" w:themeFillTint="7F"/>
      </w:tcPr>
    </w:tblStylePr>
  </w:style>
  <w:style w:type="table" w:styleId="TableClassic3">
    <w:name w:val="Table Classic 3"/>
    <w:basedOn w:val="TableNormal"/>
    <w:rsid w:val="00EB13D5"/>
    <w:pPr>
      <w:numPr>
        <w:ilvl w:val="12"/>
      </w:numPr>
      <w:spacing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odyText3">
    <w:name w:val="Body Text 3"/>
    <w:basedOn w:val="Normal"/>
    <w:link w:val="BodyText3Char"/>
    <w:rsid w:val="00EB13D5"/>
    <w:pPr>
      <w:numPr>
        <w:ilvl w:val="12"/>
      </w:numPr>
      <w:spacing w:after="120" w:line="240" w:lineRule="auto"/>
      <w:jc w:val="both"/>
    </w:pPr>
    <w:rPr>
      <w:rFonts w:ascii="Arial" w:eastAsia="Times New Roman" w:hAnsi="Arial" w:cs="Times New Roman"/>
      <w:sz w:val="16"/>
      <w:szCs w:val="16"/>
    </w:rPr>
  </w:style>
  <w:style w:type="character" w:customStyle="1" w:styleId="BodyText3Char">
    <w:name w:val="Body Text 3 Char"/>
    <w:basedOn w:val="DefaultParagraphFont"/>
    <w:link w:val="BodyText3"/>
    <w:rsid w:val="00EB13D5"/>
    <w:rPr>
      <w:rFonts w:ascii="Arial" w:eastAsia="Times New Roman" w:hAnsi="Arial" w:cs="Times New Roman"/>
      <w:sz w:val="16"/>
      <w:szCs w:val="16"/>
      <w:lang w:eastAsia="en-AU"/>
    </w:rPr>
  </w:style>
  <w:style w:type="table" w:styleId="ColorfulGrid-Accent1">
    <w:name w:val="Colorful Grid Accent 1"/>
    <w:basedOn w:val="TableNormal"/>
    <w:uiPriority w:val="73"/>
    <w:rsid w:val="00EB13D5"/>
    <w:pPr>
      <w:spacing w:after="0" w:line="240" w:lineRule="auto"/>
    </w:pPr>
    <w:rPr>
      <w:color w:val="E72371" w:themeColor="text1"/>
    </w:rPr>
    <w:tblPr>
      <w:tblStyleRowBandSize w:val="1"/>
      <w:tblStyleColBandSize w:val="1"/>
      <w:tblBorders>
        <w:insideH w:val="single" w:sz="4" w:space="0" w:color="3C3C3C" w:themeColor="background1"/>
      </w:tblBorders>
    </w:tblPr>
    <w:tcPr>
      <w:shd w:val="clear" w:color="auto" w:fill="F7F7F7" w:themeFill="accent1" w:themeFillTint="33"/>
    </w:tcPr>
    <w:tblStylePr w:type="firstRow">
      <w:rPr>
        <w:b/>
        <w:bCs/>
      </w:rPr>
      <w:tblPr/>
      <w:tcPr>
        <w:shd w:val="clear" w:color="auto" w:fill="F0F0F0" w:themeFill="accent1" w:themeFillTint="66"/>
      </w:tcPr>
    </w:tblStylePr>
    <w:tblStylePr w:type="lastRow">
      <w:rPr>
        <w:b/>
        <w:bCs/>
        <w:color w:val="E72371" w:themeColor="text1"/>
      </w:rPr>
      <w:tblPr/>
      <w:tcPr>
        <w:shd w:val="clear" w:color="auto" w:fill="F0F0F0" w:themeFill="accent1" w:themeFillTint="66"/>
      </w:tcPr>
    </w:tblStylePr>
    <w:tblStylePr w:type="firstCol">
      <w:rPr>
        <w:color w:val="3C3C3C" w:themeColor="background1"/>
      </w:rPr>
      <w:tblPr/>
      <w:tcPr>
        <w:shd w:val="clear" w:color="auto" w:fill="A3A3A3" w:themeFill="accent1" w:themeFillShade="BF"/>
      </w:tcPr>
    </w:tblStylePr>
    <w:tblStylePr w:type="lastCol">
      <w:rPr>
        <w:color w:val="3C3C3C" w:themeColor="background1"/>
      </w:rPr>
      <w:tblPr/>
      <w:tcPr>
        <w:shd w:val="clear" w:color="auto" w:fill="A3A3A3" w:themeFill="accent1" w:themeFillShade="BF"/>
      </w:tcPr>
    </w:tblStylePr>
    <w:tblStylePr w:type="band1Vert">
      <w:tblPr/>
      <w:tcPr>
        <w:shd w:val="clear" w:color="auto" w:fill="ECECEC" w:themeFill="accent1" w:themeFillTint="7F"/>
      </w:tcPr>
    </w:tblStylePr>
    <w:tblStylePr w:type="band1Horz">
      <w:tblPr/>
      <w:tcPr>
        <w:shd w:val="clear" w:color="auto" w:fill="ECECEC" w:themeFill="accent1" w:themeFillTint="7F"/>
      </w:tcPr>
    </w:tblStylePr>
  </w:style>
  <w:style w:type="paragraph" w:customStyle="1" w:styleId="Tablebulletpoint">
    <w:name w:val="Table bullet point"/>
    <w:basedOn w:val="Tabletext"/>
    <w:link w:val="TablebulletpointChar"/>
    <w:rsid w:val="00EB13D5"/>
    <w:pPr>
      <w:numPr>
        <w:numId w:val="2"/>
      </w:numPr>
      <w:ind w:left="236" w:hanging="236"/>
    </w:pPr>
  </w:style>
  <w:style w:type="character" w:customStyle="1" w:styleId="TablebulletpointChar">
    <w:name w:val="Table bullet point Char"/>
    <w:basedOn w:val="TabletextChar"/>
    <w:link w:val="Tablebulletpoint"/>
    <w:rsid w:val="00EB13D5"/>
    <w:rPr>
      <w:rFonts w:ascii="Arial" w:eastAsiaTheme="minorHAnsi" w:hAnsi="Arial" w:cs="Arial"/>
      <w:color w:val="3C3C3C" w:themeColor="background1"/>
      <w:sz w:val="20"/>
      <w:lang w:eastAsia="en-US"/>
    </w:rPr>
  </w:style>
  <w:style w:type="paragraph" w:customStyle="1" w:styleId="Bullet2">
    <w:name w:val="Bullet #2"/>
    <w:basedOn w:val="Bullet1"/>
    <w:link w:val="Bullet2Char"/>
    <w:qFormat/>
    <w:rsid w:val="00EB13D5"/>
    <w:pPr>
      <w:numPr>
        <w:ilvl w:val="1"/>
        <w:numId w:val="3"/>
      </w:numPr>
      <w:ind w:left="714" w:hanging="357"/>
    </w:pPr>
  </w:style>
  <w:style w:type="character" w:customStyle="1" w:styleId="Bullet2Char">
    <w:name w:val="Bullet #2 Char"/>
    <w:basedOn w:val="Bullet1Char"/>
    <w:link w:val="Bullet2"/>
    <w:rsid w:val="00EB13D5"/>
    <w:rPr>
      <w:rFonts w:ascii="Arial" w:eastAsiaTheme="minorHAnsi" w:hAnsi="Arial" w:cs="Arial"/>
      <w:color w:val="3C3C3C" w:themeColor="background1"/>
      <w:sz w:val="20"/>
      <w:lang w:eastAsia="en-US"/>
    </w:rPr>
  </w:style>
  <w:style w:type="paragraph" w:customStyle="1" w:styleId="Bullet3">
    <w:name w:val="Bullet #3"/>
    <w:basedOn w:val="Bullet2"/>
    <w:link w:val="Bullet3Char"/>
    <w:qFormat/>
    <w:rsid w:val="00EB13D5"/>
    <w:pPr>
      <w:numPr>
        <w:ilvl w:val="4"/>
      </w:numPr>
      <w:ind w:left="1071" w:hanging="357"/>
    </w:pPr>
  </w:style>
  <w:style w:type="character" w:customStyle="1" w:styleId="Bullet3Char">
    <w:name w:val="Bullet #3 Char"/>
    <w:basedOn w:val="Bullet2Char"/>
    <w:link w:val="Bullet3"/>
    <w:rsid w:val="00EB13D5"/>
    <w:rPr>
      <w:rFonts w:ascii="Arial" w:eastAsiaTheme="minorHAnsi" w:hAnsi="Arial" w:cs="Arial"/>
      <w:color w:val="3C3C3C" w:themeColor="background1"/>
      <w:sz w:val="20"/>
      <w:lang w:eastAsia="en-US"/>
    </w:rPr>
  </w:style>
  <w:style w:type="paragraph" w:customStyle="1" w:styleId="Coverheading">
    <w:name w:val="Cover heading"/>
    <w:basedOn w:val="Normal"/>
    <w:link w:val="CoverheadingChar"/>
    <w:rsid w:val="00EB13D5"/>
    <w:pPr>
      <w:spacing w:before="6000" w:after="600" w:line="240" w:lineRule="auto"/>
    </w:pPr>
    <w:rPr>
      <w:rFonts w:ascii="Arial" w:hAnsi="Arial" w:cs="Arial"/>
      <w:b/>
      <w:noProof/>
      <w:color w:val="3C3C3C" w:themeColor="background1"/>
      <w:sz w:val="60"/>
      <w:szCs w:val="60"/>
    </w:rPr>
  </w:style>
  <w:style w:type="character" w:customStyle="1" w:styleId="CoverheadingChar">
    <w:name w:val="Cover heading Char"/>
    <w:basedOn w:val="DefaultParagraphFont"/>
    <w:link w:val="Coverheading"/>
    <w:rsid w:val="00EB13D5"/>
    <w:rPr>
      <w:rFonts w:ascii="Arial" w:eastAsiaTheme="minorEastAsia" w:hAnsi="Arial" w:cs="Arial"/>
      <w:b/>
      <w:noProof/>
      <w:color w:val="3C3C3C" w:themeColor="background1"/>
      <w:sz w:val="60"/>
      <w:szCs w:val="60"/>
      <w:lang w:eastAsia="en-AU"/>
    </w:rPr>
  </w:style>
  <w:style w:type="paragraph" w:customStyle="1" w:styleId="Coverdate">
    <w:name w:val="Cover date"/>
    <w:basedOn w:val="Normal"/>
    <w:link w:val="CoverdateChar"/>
    <w:rsid w:val="00EB13D5"/>
    <w:pPr>
      <w:tabs>
        <w:tab w:val="left" w:pos="1695"/>
      </w:tabs>
      <w:spacing w:line="240" w:lineRule="auto"/>
    </w:pPr>
    <w:rPr>
      <w:rFonts w:ascii="Arial" w:hAnsi="Arial" w:cs="Arial"/>
      <w:color w:val="3C3C3C" w:themeColor="background1"/>
      <w:sz w:val="40"/>
      <w:szCs w:val="40"/>
    </w:rPr>
  </w:style>
  <w:style w:type="character" w:customStyle="1" w:styleId="CoverdateChar">
    <w:name w:val="Cover date Char"/>
    <w:basedOn w:val="DefaultParagraphFont"/>
    <w:link w:val="Coverdate"/>
    <w:rsid w:val="00EB13D5"/>
    <w:rPr>
      <w:rFonts w:ascii="Arial" w:eastAsiaTheme="minorEastAsia" w:hAnsi="Arial" w:cs="Arial"/>
      <w:color w:val="3C3C3C" w:themeColor="background1"/>
      <w:sz w:val="40"/>
      <w:szCs w:val="40"/>
      <w:lang w:eastAsia="en-AU"/>
    </w:rPr>
  </w:style>
  <w:style w:type="table" w:customStyle="1" w:styleId="LightShading1">
    <w:name w:val="Light Shading1"/>
    <w:basedOn w:val="TableNormal"/>
    <w:uiPriority w:val="60"/>
    <w:rsid w:val="00EB13D5"/>
    <w:pPr>
      <w:spacing w:after="0" w:line="240" w:lineRule="auto"/>
    </w:pPr>
    <w:rPr>
      <w:color w:val="B31352" w:themeColor="text1" w:themeShade="BF"/>
    </w:rPr>
    <w:tblPr>
      <w:tblStyleRowBandSize w:val="1"/>
      <w:tblStyleColBandSize w:val="1"/>
      <w:tblBorders>
        <w:top w:val="single" w:sz="8" w:space="0" w:color="E72371" w:themeColor="text1"/>
        <w:bottom w:val="single" w:sz="8" w:space="0" w:color="E72371" w:themeColor="text1"/>
      </w:tblBorders>
    </w:tblPr>
    <w:tblStylePr w:type="firstRow">
      <w:pPr>
        <w:spacing w:before="0" w:after="0" w:line="240" w:lineRule="auto"/>
      </w:pPr>
      <w:rPr>
        <w:b/>
        <w:bCs/>
      </w:rPr>
      <w:tblPr/>
      <w:tcPr>
        <w:tcBorders>
          <w:top w:val="single" w:sz="8" w:space="0" w:color="E72371" w:themeColor="text1"/>
          <w:left w:val="nil"/>
          <w:bottom w:val="single" w:sz="8" w:space="0" w:color="E72371" w:themeColor="text1"/>
          <w:right w:val="nil"/>
          <w:insideH w:val="nil"/>
          <w:insideV w:val="nil"/>
        </w:tcBorders>
      </w:tcPr>
    </w:tblStylePr>
    <w:tblStylePr w:type="lastRow">
      <w:pPr>
        <w:spacing w:before="0" w:after="0" w:line="240" w:lineRule="auto"/>
      </w:pPr>
      <w:rPr>
        <w:b/>
        <w:bCs/>
      </w:rPr>
      <w:tblPr/>
      <w:tcPr>
        <w:tcBorders>
          <w:top w:val="single" w:sz="8" w:space="0" w:color="E72371" w:themeColor="text1"/>
          <w:left w:val="nil"/>
          <w:bottom w:val="single" w:sz="8" w:space="0" w:color="E7237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8DB" w:themeFill="text1" w:themeFillTint="3F"/>
      </w:tcPr>
    </w:tblStylePr>
    <w:tblStylePr w:type="band1Horz">
      <w:tblPr/>
      <w:tcPr>
        <w:tcBorders>
          <w:left w:val="nil"/>
          <w:right w:val="nil"/>
          <w:insideH w:val="nil"/>
          <w:insideV w:val="nil"/>
        </w:tcBorders>
        <w:shd w:val="clear" w:color="auto" w:fill="F9C8DB" w:themeFill="text1" w:themeFillTint="3F"/>
      </w:tcPr>
    </w:tblStylePr>
  </w:style>
  <w:style w:type="paragraph" w:customStyle="1" w:styleId="Style1">
    <w:name w:val="Style1"/>
    <w:basedOn w:val="Heading3"/>
    <w:link w:val="Style1Char"/>
    <w:rsid w:val="00EB13D5"/>
    <w:rPr>
      <w:i/>
      <w:u w:val="single"/>
    </w:rPr>
  </w:style>
  <w:style w:type="character" w:customStyle="1" w:styleId="Style1Char">
    <w:name w:val="Style1 Char"/>
    <w:basedOn w:val="Heading3Char"/>
    <w:link w:val="Style1"/>
    <w:rsid w:val="00EB13D5"/>
    <w:rPr>
      <w:rFonts w:ascii="Arial" w:eastAsia="Times New Roman" w:hAnsi="Arial" w:cs="Times New Roman"/>
      <w:b/>
      <w:bCs/>
      <w:i w:val="0"/>
      <w:sz w:val="24"/>
      <w:szCs w:val="26"/>
      <w:u w:val="single"/>
      <w:lang w:eastAsia="en-AU"/>
    </w:rPr>
  </w:style>
  <w:style w:type="paragraph" w:customStyle="1" w:styleId="Practicedetails">
    <w:name w:val="Practice details"/>
    <w:basedOn w:val="Bullet1LAST"/>
    <w:link w:val="PracticedetailsChar"/>
    <w:qFormat/>
    <w:rsid w:val="00191DDA"/>
    <w:rPr>
      <w:b/>
      <w:i/>
      <w:color w:val="B40153" w:themeColor="text2"/>
      <w:u w:val="single"/>
    </w:rPr>
  </w:style>
  <w:style w:type="character" w:customStyle="1" w:styleId="PracticedetailsChar">
    <w:name w:val="Practice details Char"/>
    <w:basedOn w:val="DefaultParagraphFont"/>
    <w:link w:val="Practicedetails"/>
    <w:rsid w:val="00191DDA"/>
    <w:rPr>
      <w:rFonts w:ascii="Arial" w:eastAsiaTheme="minorHAnsi" w:hAnsi="Arial" w:cs="Arial"/>
      <w:b/>
      <w:i/>
      <w:color w:val="B40153" w:themeColor="text2"/>
      <w:sz w:val="20"/>
      <w:u w:val="single"/>
      <w:lang w:eastAsia="en-US"/>
    </w:rPr>
  </w:style>
  <w:style w:type="paragraph" w:customStyle="1" w:styleId="Tables">
    <w:name w:val="Tables"/>
    <w:basedOn w:val="Text"/>
    <w:link w:val="TablesChar"/>
    <w:rsid w:val="00FC4F51"/>
    <w:pPr>
      <w:spacing w:before="80" w:after="80"/>
    </w:pPr>
  </w:style>
  <w:style w:type="character" w:customStyle="1" w:styleId="TablesChar">
    <w:name w:val="Tables Char"/>
    <w:basedOn w:val="TextChar"/>
    <w:link w:val="Tables"/>
    <w:rsid w:val="00FC4F51"/>
    <w:rPr>
      <w:rFonts w:ascii="Arial" w:eastAsiaTheme="minorHAnsi" w:hAnsi="Arial" w:cs="Arial"/>
      <w:color w:val="3C3C3C" w:themeColor="background1"/>
      <w:sz w:val="20"/>
      <w:lang w:eastAsia="en-US"/>
    </w:rPr>
  </w:style>
  <w:style w:type="paragraph" w:styleId="TOC4">
    <w:name w:val="toc 4"/>
    <w:basedOn w:val="Normal"/>
    <w:next w:val="Normal"/>
    <w:autoRedefine/>
    <w:uiPriority w:val="39"/>
    <w:semiHidden/>
    <w:unhideWhenUsed/>
    <w:rsid w:val="00954458"/>
    <w:pPr>
      <w:tabs>
        <w:tab w:val="right" w:leader="dot" w:pos="9356"/>
      </w:tabs>
      <w:spacing w:after="100"/>
      <w:ind w:left="658"/>
    </w:pPr>
  </w:style>
  <w:style w:type="character" w:styleId="CommentReference">
    <w:name w:val="annotation reference"/>
    <w:basedOn w:val="DefaultParagraphFont"/>
    <w:uiPriority w:val="99"/>
    <w:semiHidden/>
    <w:unhideWhenUsed/>
    <w:rsid w:val="000F3D72"/>
    <w:rPr>
      <w:sz w:val="16"/>
      <w:szCs w:val="16"/>
    </w:rPr>
  </w:style>
  <w:style w:type="paragraph" w:styleId="CommentText">
    <w:name w:val="annotation text"/>
    <w:basedOn w:val="Normal"/>
    <w:link w:val="CommentTextChar"/>
    <w:uiPriority w:val="99"/>
    <w:semiHidden/>
    <w:unhideWhenUsed/>
    <w:rsid w:val="000F3D72"/>
    <w:pPr>
      <w:spacing w:line="240" w:lineRule="auto"/>
    </w:pPr>
    <w:rPr>
      <w:sz w:val="20"/>
      <w:szCs w:val="20"/>
    </w:rPr>
  </w:style>
  <w:style w:type="character" w:customStyle="1" w:styleId="CommentTextChar">
    <w:name w:val="Comment Text Char"/>
    <w:basedOn w:val="DefaultParagraphFont"/>
    <w:link w:val="CommentText"/>
    <w:uiPriority w:val="99"/>
    <w:semiHidden/>
    <w:rsid w:val="000F3D72"/>
    <w:rPr>
      <w:sz w:val="20"/>
      <w:szCs w:val="20"/>
    </w:rPr>
  </w:style>
  <w:style w:type="paragraph" w:styleId="CommentSubject">
    <w:name w:val="annotation subject"/>
    <w:basedOn w:val="CommentText"/>
    <w:next w:val="CommentText"/>
    <w:link w:val="CommentSubjectChar"/>
    <w:uiPriority w:val="99"/>
    <w:semiHidden/>
    <w:unhideWhenUsed/>
    <w:rsid w:val="000F3D72"/>
    <w:rPr>
      <w:b/>
      <w:bCs/>
    </w:rPr>
  </w:style>
  <w:style w:type="character" w:customStyle="1" w:styleId="CommentSubjectChar">
    <w:name w:val="Comment Subject Char"/>
    <w:basedOn w:val="CommentTextChar"/>
    <w:link w:val="CommentSubject"/>
    <w:uiPriority w:val="99"/>
    <w:semiHidden/>
    <w:rsid w:val="000F3D72"/>
    <w:rPr>
      <w:b/>
      <w:bCs/>
      <w:sz w:val="20"/>
      <w:szCs w:val="20"/>
    </w:rPr>
  </w:style>
  <w:style w:type="paragraph" w:customStyle="1" w:styleId="Headingnospacing">
    <w:name w:val="Heading no spacing"/>
    <w:basedOn w:val="Heading"/>
    <w:link w:val="HeadingnospacingChar"/>
    <w:rsid w:val="00E4106A"/>
  </w:style>
  <w:style w:type="paragraph" w:customStyle="1" w:styleId="Bullet10">
    <w:name w:val="Bullet 1"/>
    <w:basedOn w:val="Text"/>
    <w:rsid w:val="00F3202C"/>
    <w:pPr>
      <w:spacing w:after="60"/>
      <w:ind w:left="360" w:hanging="360"/>
    </w:pPr>
  </w:style>
  <w:style w:type="character" w:customStyle="1" w:styleId="HeadingnospacingChar">
    <w:name w:val="Heading no spacing Char"/>
    <w:basedOn w:val="HeadingChar"/>
    <w:link w:val="Headingnospacing"/>
    <w:rsid w:val="00E4106A"/>
    <w:rPr>
      <w:rFonts w:ascii="Arial" w:eastAsia="Times New Roman" w:hAnsi="Arial" w:cs="Arial"/>
      <w:b/>
      <w:bCs/>
      <w:color w:val="3C3C3C" w:themeColor="background1"/>
      <w:spacing w:val="-10"/>
      <w:w w:val="95"/>
      <w:kern w:val="32"/>
      <w:sz w:val="36"/>
      <w:szCs w:val="44"/>
      <w:lang w:eastAsia="en-US"/>
    </w:rPr>
  </w:style>
  <w:style w:type="paragraph" w:customStyle="1" w:styleId="Tablebullet">
    <w:name w:val="Table bullet"/>
    <w:basedOn w:val="Bullet10"/>
    <w:link w:val="TablebulletChar"/>
    <w:rsid w:val="00F3202C"/>
    <w:pPr>
      <w:spacing w:before="40" w:after="40"/>
      <w:ind w:left="238" w:hanging="238"/>
    </w:pPr>
    <w:rPr>
      <w:sz w:val="21"/>
    </w:rPr>
  </w:style>
  <w:style w:type="character" w:customStyle="1" w:styleId="TablebulletChar">
    <w:name w:val="Table bullet Char"/>
    <w:basedOn w:val="DefaultParagraphFont"/>
    <w:link w:val="Tablebullet"/>
    <w:rsid w:val="00F3202C"/>
    <w:rPr>
      <w:rFonts w:ascii="Arial" w:eastAsiaTheme="minorHAnsi" w:hAnsi="Arial" w:cs="Arial"/>
      <w:sz w:val="21"/>
      <w:lang w:eastAsia="en-US"/>
    </w:rPr>
  </w:style>
  <w:style w:type="paragraph" w:customStyle="1" w:styleId="Tablebullet1">
    <w:name w:val="Table bullet 1"/>
    <w:basedOn w:val="Tablebullet"/>
    <w:link w:val="Tablebullet1Char"/>
    <w:qFormat/>
    <w:rsid w:val="0093256A"/>
    <w:pPr>
      <w:numPr>
        <w:numId w:val="4"/>
      </w:numPr>
      <w:ind w:left="238" w:hanging="238"/>
    </w:pPr>
    <w:rPr>
      <w:sz w:val="20"/>
    </w:rPr>
  </w:style>
  <w:style w:type="character" w:customStyle="1" w:styleId="Tablebullet1Char">
    <w:name w:val="Table bullet 1 Char"/>
    <w:basedOn w:val="TablebulletChar"/>
    <w:link w:val="Tablebullet1"/>
    <w:rsid w:val="0093256A"/>
    <w:rPr>
      <w:rFonts w:ascii="Arial" w:eastAsiaTheme="minorHAnsi" w:hAnsi="Arial" w:cs="Arial"/>
      <w:color w:val="3C3C3C" w:themeColor="background1"/>
      <w:sz w:val="20"/>
      <w:lang w:eastAsia="en-US"/>
    </w:rPr>
  </w:style>
  <w:style w:type="character" w:styleId="FollowedHyperlink">
    <w:name w:val="FollowedHyperlink"/>
    <w:basedOn w:val="DefaultParagraphFont"/>
    <w:uiPriority w:val="99"/>
    <w:semiHidden/>
    <w:unhideWhenUsed/>
    <w:rsid w:val="005E38D9"/>
    <w:rPr>
      <w:color w:val="B2B2B2" w:themeColor="followedHyperlink"/>
      <w:u w:val="single"/>
    </w:rPr>
  </w:style>
  <w:style w:type="character" w:customStyle="1" w:styleId="Mention1">
    <w:name w:val="Mention1"/>
    <w:basedOn w:val="DefaultParagraphFont"/>
    <w:uiPriority w:val="99"/>
    <w:semiHidden/>
    <w:unhideWhenUsed/>
    <w:rsid w:val="00F3608E"/>
    <w:rPr>
      <w:color w:val="2B579A"/>
      <w:shd w:val="clear" w:color="auto" w:fill="E6E6E6"/>
    </w:rPr>
  </w:style>
  <w:style w:type="character" w:customStyle="1" w:styleId="HeadingregularChar">
    <w:name w:val="Heading regular Char"/>
    <w:link w:val="Headingregular"/>
    <w:locked/>
    <w:rsid w:val="00B113AD"/>
    <w:rPr>
      <w:rFonts w:ascii="Arial" w:hAnsi="Arial" w:cs="Arial"/>
      <w:bCs/>
      <w:color w:val="3C3C3C" w:themeColor="background1"/>
      <w:spacing w:val="-10"/>
      <w:w w:val="95"/>
      <w:kern w:val="32"/>
      <w:sz w:val="56"/>
      <w:szCs w:val="44"/>
    </w:rPr>
  </w:style>
  <w:style w:type="paragraph" w:customStyle="1" w:styleId="Headingregular">
    <w:name w:val="Heading regular"/>
    <w:basedOn w:val="Textbold"/>
    <w:link w:val="HeadingregularChar"/>
    <w:qFormat/>
    <w:rsid w:val="00B113AD"/>
    <w:pPr>
      <w:numPr>
        <w:ilvl w:val="0"/>
      </w:numPr>
      <w:tabs>
        <w:tab w:val="left" w:pos="851"/>
      </w:tabs>
      <w:spacing w:before="120" w:after="120"/>
      <w:jc w:val="left"/>
    </w:pPr>
    <w:rPr>
      <w:rFonts w:eastAsiaTheme="minorEastAsia"/>
      <w:b w:val="0"/>
      <w:spacing w:val="-10"/>
      <w:w w:val="95"/>
      <w:sz w:val="56"/>
      <w:szCs w:val="44"/>
      <w:lang w:eastAsia="en-AU"/>
    </w:rPr>
  </w:style>
  <w:style w:type="character" w:customStyle="1" w:styleId="Tablebullet2Char">
    <w:name w:val="Table bullet 2 Char"/>
    <w:link w:val="Tablebullet2"/>
    <w:locked/>
    <w:rsid w:val="0093256A"/>
    <w:rPr>
      <w:rFonts w:ascii="Arial" w:hAnsi="Arial" w:cs="Arial"/>
      <w:color w:val="3C3C3C" w:themeColor="background1"/>
      <w:sz w:val="20"/>
    </w:rPr>
  </w:style>
  <w:style w:type="paragraph" w:customStyle="1" w:styleId="Tablebullet2">
    <w:name w:val="Table bullet 2"/>
    <w:basedOn w:val="Tablebullet1"/>
    <w:link w:val="Tablebullet2Char"/>
    <w:qFormat/>
    <w:rsid w:val="0093256A"/>
    <w:pPr>
      <w:numPr>
        <w:numId w:val="6"/>
      </w:numPr>
      <w:tabs>
        <w:tab w:val="left" w:pos="284"/>
        <w:tab w:val="left" w:pos="567"/>
      </w:tabs>
      <w:spacing w:before="0" w:after="60"/>
      <w:ind w:left="568" w:hanging="284"/>
    </w:pPr>
    <w:rPr>
      <w:rFonts w:eastAsiaTheme="minorEastAsia"/>
      <w:lang w:eastAsia="en-AU"/>
    </w:rPr>
  </w:style>
  <w:style w:type="character" w:customStyle="1" w:styleId="IndentedBullet1textChar">
    <w:name w:val="Indented Bullet #1 text Char"/>
    <w:link w:val="IndentedBullet1text"/>
    <w:locked/>
    <w:rsid w:val="002562D6"/>
    <w:rPr>
      <w:rFonts w:ascii="Arial" w:eastAsia="Calibri" w:hAnsi="Arial" w:cs="Arial"/>
      <w:color w:val="3C3C3C" w:themeColor="background1"/>
      <w:sz w:val="20"/>
    </w:rPr>
  </w:style>
  <w:style w:type="paragraph" w:customStyle="1" w:styleId="IndentedBullet1text">
    <w:name w:val="Indented Bullet #1 text"/>
    <w:link w:val="IndentedBullet1textChar"/>
    <w:qFormat/>
    <w:rsid w:val="002562D6"/>
    <w:pPr>
      <w:spacing w:after="120" w:line="280" w:lineRule="exact"/>
      <w:ind w:left="284"/>
    </w:pPr>
    <w:rPr>
      <w:rFonts w:ascii="Arial" w:eastAsia="Calibri" w:hAnsi="Arial" w:cs="Arial"/>
      <w:color w:val="3C3C3C" w:themeColor="background1"/>
      <w:sz w:val="20"/>
    </w:rPr>
  </w:style>
  <w:style w:type="character" w:customStyle="1" w:styleId="TablenumberChar">
    <w:name w:val="Table number Char"/>
    <w:link w:val="Tablenumber"/>
    <w:locked/>
    <w:rsid w:val="002562D6"/>
    <w:rPr>
      <w:rFonts w:ascii="Arial" w:hAnsi="Arial" w:cs="Arial"/>
      <w:b/>
      <w:i/>
      <w:color w:val="3C3C3C" w:themeColor="background1"/>
      <w:sz w:val="20"/>
    </w:rPr>
  </w:style>
  <w:style w:type="paragraph" w:customStyle="1" w:styleId="Tablenumber">
    <w:name w:val="Table number"/>
    <w:basedOn w:val="Text"/>
    <w:link w:val="TablenumberChar"/>
    <w:rsid w:val="002562D6"/>
    <w:pPr>
      <w:tabs>
        <w:tab w:val="left" w:pos="1134"/>
      </w:tabs>
      <w:ind w:left="1134" w:hanging="1134"/>
    </w:pPr>
    <w:rPr>
      <w:rFonts w:eastAsiaTheme="minorEastAsia"/>
      <w:b/>
      <w:i/>
      <w:lang w:eastAsia="en-AU"/>
    </w:rPr>
  </w:style>
  <w:style w:type="character" w:customStyle="1" w:styleId="IndentedBullet2Char">
    <w:name w:val="Indented Bullet #2 Char"/>
    <w:basedOn w:val="TextChar"/>
    <w:link w:val="IndentedBullet2"/>
    <w:locked/>
    <w:rsid w:val="002562D6"/>
    <w:rPr>
      <w:rFonts w:ascii="Arial" w:eastAsiaTheme="minorHAnsi" w:hAnsi="Arial" w:cs="Arial"/>
      <w:color w:val="3C3C3C" w:themeColor="background1"/>
      <w:sz w:val="20"/>
      <w:lang w:eastAsia="en-US"/>
    </w:rPr>
  </w:style>
  <w:style w:type="paragraph" w:customStyle="1" w:styleId="IndentedBullet2">
    <w:name w:val="Indented Bullet #2"/>
    <w:basedOn w:val="Text"/>
    <w:link w:val="IndentedBullet2Char"/>
    <w:qFormat/>
    <w:rsid w:val="002562D6"/>
    <w:pPr>
      <w:ind w:left="851" w:hanging="284"/>
    </w:pPr>
    <w:rPr>
      <w:rFonts w:eastAsiaTheme="minorEastAsia"/>
      <w:lang w:eastAsia="en-AU"/>
    </w:rPr>
  </w:style>
  <w:style w:type="character" w:customStyle="1" w:styleId="IndentedBullet3Char">
    <w:name w:val="Indented Bullet #3 Char"/>
    <w:basedOn w:val="IndentedBullet2Char"/>
    <w:link w:val="IndentedBullet3"/>
    <w:locked/>
    <w:rsid w:val="002562D6"/>
    <w:rPr>
      <w:rFonts w:ascii="Arial" w:eastAsiaTheme="minorHAnsi" w:hAnsi="Arial" w:cs="Arial"/>
      <w:color w:val="3C3C3C" w:themeColor="background1"/>
      <w:sz w:val="20"/>
      <w:lang w:eastAsia="en-US"/>
    </w:rPr>
  </w:style>
  <w:style w:type="paragraph" w:customStyle="1" w:styleId="IndentedBullet3">
    <w:name w:val="Indented Bullet #3"/>
    <w:basedOn w:val="IndentedBullet2"/>
    <w:link w:val="IndentedBullet3Char"/>
    <w:qFormat/>
    <w:rsid w:val="002562D6"/>
    <w:pPr>
      <w:ind w:left="1135"/>
    </w:pPr>
  </w:style>
  <w:style w:type="paragraph" w:customStyle="1" w:styleId="Headingbold">
    <w:name w:val="Heading bold"/>
    <w:basedOn w:val="Headingregular"/>
    <w:link w:val="HeadingboldChar"/>
    <w:qFormat/>
    <w:rsid w:val="002562D6"/>
    <w:pPr>
      <w:spacing w:after="240"/>
    </w:pPr>
    <w:rPr>
      <w:b/>
    </w:rPr>
  </w:style>
  <w:style w:type="character" w:customStyle="1" w:styleId="HeadingboldChar">
    <w:name w:val="Heading bold Char"/>
    <w:basedOn w:val="HeadingregularChar"/>
    <w:link w:val="Headingbold"/>
    <w:rsid w:val="002562D6"/>
    <w:rPr>
      <w:rFonts w:ascii="Arial" w:hAnsi="Arial" w:cs="Arial"/>
      <w:b/>
      <w:bCs/>
      <w:color w:val="3C3C3C" w:themeColor="background1"/>
      <w:spacing w:val="-10"/>
      <w:w w:val="95"/>
      <w:kern w:val="32"/>
      <w:sz w:val="56"/>
      <w:szCs w:val="44"/>
    </w:rPr>
  </w:style>
  <w:style w:type="paragraph" w:customStyle="1" w:styleId="Figure1">
    <w:name w:val="Figure 1"/>
    <w:basedOn w:val="BlockText"/>
    <w:link w:val="Figure1Char"/>
    <w:rsid w:val="00D8039F"/>
    <w:pPr>
      <w:tabs>
        <w:tab w:val="left" w:pos="425"/>
        <w:tab w:val="left" w:pos="851"/>
        <w:tab w:val="num" w:pos="1080"/>
      </w:tabs>
      <w:spacing w:after="180"/>
      <w:ind w:left="284" w:hanging="284"/>
    </w:pPr>
  </w:style>
  <w:style w:type="character" w:customStyle="1" w:styleId="Figure1Char">
    <w:name w:val="Figure 1 Char"/>
    <w:basedOn w:val="Bullet1Char"/>
    <w:link w:val="Figure1"/>
    <w:rsid w:val="00D8039F"/>
    <w:rPr>
      <w:rFonts w:ascii="Arial" w:eastAsiaTheme="minorHAnsi" w:hAnsi="Arial" w:cs="Arial"/>
      <w:i/>
      <w:iCs/>
      <w:color w:val="DADADA" w:themeColor="accent1"/>
      <w:sz w:val="20"/>
      <w:lang w:eastAsia="en-US"/>
    </w:rPr>
  </w:style>
  <w:style w:type="paragraph" w:customStyle="1" w:styleId="Bullet2LAST">
    <w:name w:val="Bullet #2 LAST"/>
    <w:basedOn w:val="Bullet2"/>
    <w:link w:val="Bullet2LASTChar"/>
    <w:qFormat/>
    <w:rsid w:val="0063672D"/>
    <w:pPr>
      <w:spacing w:after="180"/>
    </w:pPr>
  </w:style>
  <w:style w:type="paragraph" w:customStyle="1" w:styleId="Bullet3LAST">
    <w:name w:val="Bullet #3 LAST"/>
    <w:basedOn w:val="Bullet3"/>
    <w:link w:val="Bullet3LASTChar"/>
    <w:qFormat/>
    <w:rsid w:val="002562D6"/>
    <w:pPr>
      <w:numPr>
        <w:ilvl w:val="0"/>
        <w:numId w:val="0"/>
      </w:numPr>
      <w:spacing w:after="180"/>
      <w:ind w:left="851" w:hanging="284"/>
    </w:pPr>
    <w:rPr>
      <w:rFonts w:eastAsia="Calibri"/>
      <w:lang w:val="en-US"/>
    </w:rPr>
  </w:style>
  <w:style w:type="character" w:customStyle="1" w:styleId="Bullet2LASTChar">
    <w:name w:val="Bullet #2 LAST Char"/>
    <w:basedOn w:val="Bullet2Char"/>
    <w:link w:val="Bullet2LAST"/>
    <w:rsid w:val="0063672D"/>
    <w:rPr>
      <w:rFonts w:ascii="Arial" w:eastAsiaTheme="minorHAnsi" w:hAnsi="Arial" w:cs="Arial"/>
      <w:color w:val="3C3C3C" w:themeColor="background1"/>
      <w:sz w:val="20"/>
      <w:lang w:eastAsia="en-US"/>
    </w:rPr>
  </w:style>
  <w:style w:type="character" w:customStyle="1" w:styleId="Bullet3LASTChar">
    <w:name w:val="Bullet #3 LAST Char"/>
    <w:basedOn w:val="Bullet3Char"/>
    <w:link w:val="Bullet3LAST"/>
    <w:rsid w:val="002562D6"/>
    <w:rPr>
      <w:rFonts w:ascii="Arial" w:eastAsia="Calibri" w:hAnsi="Arial" w:cs="Arial"/>
      <w:color w:val="3C3C3C" w:themeColor="background1"/>
      <w:sz w:val="20"/>
      <w:lang w:val="en-US" w:eastAsia="en-US"/>
    </w:rPr>
  </w:style>
  <w:style w:type="paragraph" w:customStyle="1" w:styleId="BusinessPlanheadings">
    <w:name w:val="Business Plan headings"/>
    <w:basedOn w:val="Headingbold"/>
    <w:link w:val="BusinessPlanheadingsChar"/>
    <w:rsid w:val="00D8039F"/>
    <w:pPr>
      <w:spacing w:before="360" w:after="180"/>
    </w:pPr>
    <w:rPr>
      <w:sz w:val="36"/>
      <w:szCs w:val="36"/>
    </w:rPr>
  </w:style>
  <w:style w:type="paragraph" w:customStyle="1" w:styleId="Bullet1LAST">
    <w:name w:val="Bullet #1 LAST"/>
    <w:basedOn w:val="Bullet1"/>
    <w:link w:val="Bullet1LASTChar"/>
    <w:qFormat/>
    <w:rsid w:val="00D8039F"/>
    <w:pPr>
      <w:spacing w:after="180"/>
    </w:pPr>
  </w:style>
  <w:style w:type="character" w:customStyle="1" w:styleId="BusinessPlanheadingsChar">
    <w:name w:val="Business Plan headings Char"/>
    <w:basedOn w:val="HeadingboldChar"/>
    <w:link w:val="BusinessPlanheadings"/>
    <w:rsid w:val="00D8039F"/>
    <w:rPr>
      <w:rFonts w:ascii="Arial" w:hAnsi="Arial" w:cs="Arial"/>
      <w:b/>
      <w:bCs/>
      <w:color w:val="3C3C3C" w:themeColor="background1"/>
      <w:spacing w:val="-10"/>
      <w:w w:val="95"/>
      <w:kern w:val="32"/>
      <w:sz w:val="36"/>
      <w:szCs w:val="36"/>
    </w:rPr>
  </w:style>
  <w:style w:type="paragraph" w:styleId="BlockText">
    <w:name w:val="Block Text"/>
    <w:basedOn w:val="Normal"/>
    <w:uiPriority w:val="99"/>
    <w:semiHidden/>
    <w:unhideWhenUsed/>
    <w:rsid w:val="00D8039F"/>
    <w:pPr>
      <w:pBdr>
        <w:top w:val="single" w:sz="2" w:space="10" w:color="DADADA" w:themeColor="accent1" w:shadow="1"/>
        <w:left w:val="single" w:sz="2" w:space="10" w:color="DADADA" w:themeColor="accent1" w:shadow="1"/>
        <w:bottom w:val="single" w:sz="2" w:space="10" w:color="DADADA" w:themeColor="accent1" w:shadow="1"/>
        <w:right w:val="single" w:sz="2" w:space="10" w:color="DADADA" w:themeColor="accent1" w:shadow="1"/>
      </w:pBdr>
      <w:ind w:left="1152" w:right="1152"/>
    </w:pPr>
    <w:rPr>
      <w:i/>
      <w:iCs/>
      <w:color w:val="DADADA" w:themeColor="accent1"/>
    </w:rPr>
  </w:style>
  <w:style w:type="paragraph" w:customStyle="1" w:styleId="TableofContentsheading">
    <w:name w:val="Table of Contents heading"/>
    <w:basedOn w:val="BusinessPlanheadings"/>
    <w:link w:val="TableofContentsheadingChar"/>
    <w:rsid w:val="00C67BBD"/>
  </w:style>
  <w:style w:type="character" w:customStyle="1" w:styleId="Bullet1LASTChar">
    <w:name w:val="Bullet #1 LAST Char"/>
    <w:basedOn w:val="Bullet1Char"/>
    <w:link w:val="Bullet1LAST"/>
    <w:rsid w:val="00D8039F"/>
    <w:rPr>
      <w:rFonts w:ascii="Arial" w:eastAsiaTheme="minorHAnsi" w:hAnsi="Arial" w:cs="Arial"/>
      <w:color w:val="3C3C3C" w:themeColor="background1"/>
      <w:sz w:val="20"/>
      <w:lang w:eastAsia="en-US"/>
    </w:rPr>
  </w:style>
  <w:style w:type="character" w:customStyle="1" w:styleId="TableofContentsheadingChar">
    <w:name w:val="Table of Contents heading Char"/>
    <w:basedOn w:val="BusinessPlanheadingsChar"/>
    <w:link w:val="TableofContentsheading"/>
    <w:rsid w:val="00C67BBD"/>
    <w:rPr>
      <w:rFonts w:ascii="Arial" w:hAnsi="Arial" w:cs="Arial"/>
      <w:b/>
      <w:bCs/>
      <w:color w:val="3C3C3C" w:themeColor="background1"/>
      <w:spacing w:val="-10"/>
      <w:w w:val="95"/>
      <w:kern w:val="32"/>
      <w:sz w:val="36"/>
      <w:szCs w:val="36"/>
    </w:rPr>
  </w:style>
  <w:style w:type="paragraph" w:customStyle="1" w:styleId="Boldtext">
    <w:name w:val="Bold text"/>
    <w:basedOn w:val="Text"/>
    <w:link w:val="BoldtextChar"/>
    <w:qFormat/>
    <w:rsid w:val="00C0638C"/>
    <w:pPr>
      <w:spacing w:line="280" w:lineRule="exact"/>
    </w:pPr>
    <w:rPr>
      <w:b/>
    </w:rPr>
  </w:style>
  <w:style w:type="character" w:customStyle="1" w:styleId="BoldtextChar">
    <w:name w:val="Bold text Char"/>
    <w:basedOn w:val="TextChar"/>
    <w:link w:val="Boldtext"/>
    <w:rsid w:val="00C0638C"/>
    <w:rPr>
      <w:rFonts w:ascii="Arial" w:eastAsiaTheme="minorHAnsi" w:hAnsi="Arial" w:cs="Arial"/>
      <w:b/>
      <w:color w:val="3C3C3C" w:themeColor="background1"/>
      <w:sz w:val="20"/>
      <w:lang w:eastAsia="en-US"/>
    </w:rPr>
  </w:style>
  <w:style w:type="paragraph" w:customStyle="1" w:styleId="Locationofrelatedpolicyorprocedure">
    <w:name w:val="Location of related policy or procedure"/>
    <w:basedOn w:val="BodyText"/>
    <w:link w:val="LocationofrelatedpolicyorprocedureChar"/>
    <w:qFormat/>
    <w:rsid w:val="00191DDA"/>
    <w:pPr>
      <w:numPr>
        <w:ilvl w:val="0"/>
        <w:numId w:val="7"/>
      </w:numPr>
      <w:spacing w:before="60" w:beforeAutospacing="0" w:after="60" w:afterAutospacing="0"/>
    </w:pPr>
    <w:rPr>
      <w:rFonts w:cs="Arial"/>
      <w:b/>
      <w:i/>
      <w:color w:val="67A4BC" w:themeColor="accent3"/>
      <w:szCs w:val="20"/>
    </w:rPr>
  </w:style>
  <w:style w:type="character" w:customStyle="1" w:styleId="LocationofrelatedpolicyorprocedureChar">
    <w:name w:val="Location of related policy or procedure Char"/>
    <w:basedOn w:val="BodyTextChar"/>
    <w:link w:val="Locationofrelatedpolicyorprocedure"/>
    <w:rsid w:val="00191DDA"/>
    <w:rPr>
      <w:rFonts w:ascii="Arial" w:eastAsia="Times New Roman" w:hAnsi="Arial" w:cs="Arial"/>
      <w:b/>
      <w:i/>
      <w:color w:val="67A4BC" w:themeColor="accent3"/>
      <w:szCs w:val="20"/>
      <w:lang w:eastAsia="en-AU"/>
    </w:rPr>
  </w:style>
  <w:style w:type="character" w:customStyle="1" w:styleId="11Char">
    <w:name w:val="# 1.1 Char"/>
    <w:link w:val="11"/>
    <w:locked/>
    <w:rsid w:val="00846CC9"/>
    <w:rPr>
      <w:rFonts w:ascii="Arial" w:hAnsi="Arial" w:cs="Arial"/>
      <w:b/>
      <w:color w:val="B40153" w:themeColor="text2"/>
      <w:sz w:val="24"/>
      <w:szCs w:val="28"/>
    </w:rPr>
  </w:style>
  <w:style w:type="paragraph" w:customStyle="1" w:styleId="11">
    <w:name w:val="# 1.1"/>
    <w:basedOn w:val="Sub-heading"/>
    <w:link w:val="11Char"/>
    <w:rsid w:val="00846CC9"/>
    <w:pPr>
      <w:keepNext w:val="0"/>
      <w:numPr>
        <w:ilvl w:val="0"/>
      </w:numPr>
      <w:tabs>
        <w:tab w:val="left" w:pos="851"/>
        <w:tab w:val="left" w:pos="1701"/>
      </w:tabs>
      <w:spacing w:before="120" w:after="240"/>
      <w:ind w:left="851" w:hanging="851"/>
      <w:jc w:val="left"/>
      <w:outlineLvl w:val="9"/>
    </w:pPr>
    <w:rPr>
      <w:rFonts w:eastAsiaTheme="minorEastAsia"/>
      <w:bCs w:val="0"/>
      <w:color w:val="B40153" w:themeColor="text2"/>
      <w:kern w:val="0"/>
      <w:sz w:val="24"/>
      <w:lang w:eastAsia="en-AU"/>
    </w:rPr>
  </w:style>
  <w:style w:type="paragraph" w:customStyle="1" w:styleId="Subheading1">
    <w:name w:val="#Sub heading 1"/>
    <w:basedOn w:val="Text"/>
    <w:link w:val="Subheading1Char"/>
    <w:qFormat/>
    <w:rsid w:val="004C2737"/>
    <w:rPr>
      <w:b/>
      <w:color w:val="3C3C3C" w:themeColor="background1"/>
    </w:rPr>
  </w:style>
  <w:style w:type="character" w:customStyle="1" w:styleId="Subheading1Char">
    <w:name w:val="#Sub heading 1 Char"/>
    <w:basedOn w:val="TextChar"/>
    <w:link w:val="Subheading1"/>
    <w:rsid w:val="004C2737"/>
    <w:rPr>
      <w:rFonts w:ascii="Arial" w:eastAsiaTheme="minorHAnsi" w:hAnsi="Arial" w:cs="Arial"/>
      <w:b/>
      <w:color w:val="3C3C3C" w:themeColor="background1"/>
      <w:sz w:val="20"/>
      <w:lang w:eastAsia="en-US"/>
    </w:rPr>
  </w:style>
  <w:style w:type="paragraph" w:customStyle="1" w:styleId="Style2">
    <w:name w:val="Style2"/>
    <w:basedOn w:val="Heading2"/>
    <w:next w:val="Heading2"/>
    <w:link w:val="Style2Char"/>
    <w:qFormat/>
    <w:rsid w:val="00EB1F94"/>
    <w:rPr>
      <w:color w:val="E72371" w:themeColor="text1"/>
    </w:rPr>
  </w:style>
  <w:style w:type="paragraph" w:customStyle="1" w:styleId="Style3">
    <w:name w:val="Style3"/>
    <w:basedOn w:val="Bullet1"/>
    <w:link w:val="Style3Char"/>
    <w:qFormat/>
    <w:rsid w:val="00B4612F"/>
    <w:rPr>
      <w:i/>
      <w:color w:val="A0C52D" w:themeColor="accent5"/>
      <w:u w:val="single"/>
    </w:rPr>
  </w:style>
  <w:style w:type="character" w:customStyle="1" w:styleId="Style2Char">
    <w:name w:val="Style2 Char"/>
    <w:basedOn w:val="TextboldChar"/>
    <w:link w:val="Style2"/>
    <w:rsid w:val="00EB1F94"/>
    <w:rPr>
      <w:rFonts w:ascii="Arial" w:eastAsia="Times New Roman" w:hAnsi="Arial" w:cs="Arial"/>
      <w:b/>
      <w:bCs/>
      <w:iCs/>
      <w:color w:val="E72371" w:themeColor="text1"/>
      <w:kern w:val="32"/>
      <w:sz w:val="24"/>
      <w:szCs w:val="28"/>
      <w:lang w:eastAsia="en-US"/>
    </w:rPr>
  </w:style>
  <w:style w:type="character" w:styleId="UnresolvedMention">
    <w:name w:val="Unresolved Mention"/>
    <w:basedOn w:val="DefaultParagraphFont"/>
    <w:uiPriority w:val="99"/>
    <w:semiHidden/>
    <w:unhideWhenUsed/>
    <w:rsid w:val="009836E0"/>
    <w:rPr>
      <w:color w:val="808080"/>
      <w:shd w:val="clear" w:color="auto" w:fill="E6E6E6"/>
    </w:rPr>
  </w:style>
  <w:style w:type="character" w:customStyle="1" w:styleId="Style3Char">
    <w:name w:val="Style3 Char"/>
    <w:basedOn w:val="Bullet1Char"/>
    <w:link w:val="Style3"/>
    <w:rsid w:val="00B4612F"/>
    <w:rPr>
      <w:rFonts w:ascii="Arial" w:eastAsiaTheme="minorHAnsi" w:hAnsi="Arial" w:cs="Arial"/>
      <w:i/>
      <w:color w:val="A0C52D" w:themeColor="accent5"/>
      <w:sz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701060">
      <w:bodyDiv w:val="1"/>
      <w:marLeft w:val="0"/>
      <w:marRight w:val="0"/>
      <w:marTop w:val="0"/>
      <w:marBottom w:val="0"/>
      <w:divBdr>
        <w:top w:val="none" w:sz="0" w:space="0" w:color="auto"/>
        <w:left w:val="none" w:sz="0" w:space="0" w:color="auto"/>
        <w:bottom w:val="none" w:sz="0" w:space="0" w:color="auto"/>
        <w:right w:val="none" w:sz="0" w:space="0" w:color="auto"/>
      </w:divBdr>
    </w:div>
    <w:div w:id="168744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unise.health.gov.au/internet/immunise/publishing.nsf/content/IMM77-cnt" TargetMode="External"/><Relationship Id="rId13" Type="http://schemas.openxmlformats.org/officeDocument/2006/relationships/hyperlink" Target="http://ww2.health.wa.gov.au/sitecore/content/Healthy-WA/Articles/A_E/Contact-details-for-population-public-health-units" TargetMode="External"/><Relationship Id="rId18" Type="http://schemas.openxmlformats.org/officeDocument/2006/relationships/hyperlink" Target="http://ww2.health.wa.gov.au/Articles/S_T/Safe-storage-of-medication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mmunise.health.gov.au/internet/immunise/publishing.nsf/content/D7EDA378F0B97134CA257D4D0081E4BB/$File/strive-for-5-guidelines.pdf" TargetMode="External"/><Relationship Id="rId17" Type="http://schemas.openxmlformats.org/officeDocument/2006/relationships/hyperlink" Target="http://ww2.health.wa.gov.au/Articles/A_E/Cold-chain-management" TargetMode="External"/><Relationship Id="rId2" Type="http://schemas.openxmlformats.org/officeDocument/2006/relationships/numbering" Target="numbering.xml"/><Relationship Id="rId16" Type="http://schemas.openxmlformats.org/officeDocument/2006/relationships/hyperlink" Target="mailto:vaccineorders@health.wa.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ywa.wa.gov.au/publichealthuni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alth.gov.au/internet/immunise/publishing.nsf/Content/Handbook10-home" TargetMode="External"/><Relationship Id="rId23" Type="http://schemas.openxmlformats.org/officeDocument/2006/relationships/fontTable" Target="fontTable.xml"/><Relationship Id="rId10" Type="http://schemas.openxmlformats.org/officeDocument/2006/relationships/hyperlink" Target="http://ww2.health.wa.gov.au/Articles/A_E/Cold-chain-manage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mmunise.health.gov.au/internet/immunise/publishing.nsf/Content/Handbook10-home" TargetMode="External"/><Relationship Id="rId14" Type="http://schemas.openxmlformats.org/officeDocument/2006/relationships/hyperlink" Target="http://www.public.health.wa.gov.au/2/484/2/infectious_disease_data.pm"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actice Assist">
  <a:themeElements>
    <a:clrScheme name="Practice Assist">
      <a:dk1>
        <a:srgbClr val="E72371"/>
      </a:dk1>
      <a:lt1>
        <a:srgbClr val="3C3C3C"/>
      </a:lt1>
      <a:dk2>
        <a:srgbClr val="B40153"/>
      </a:dk2>
      <a:lt2>
        <a:srgbClr val="B2B2B2"/>
      </a:lt2>
      <a:accent1>
        <a:srgbClr val="DADADA"/>
      </a:accent1>
      <a:accent2>
        <a:srgbClr val="A7CDDC"/>
      </a:accent2>
      <a:accent3>
        <a:srgbClr val="67A4BC"/>
      </a:accent3>
      <a:accent4>
        <a:srgbClr val="00B1AD"/>
      </a:accent4>
      <a:accent5>
        <a:srgbClr val="A0C52D"/>
      </a:accent5>
      <a:accent6>
        <a:srgbClr val="FFFFFF"/>
      </a:accent6>
      <a:hlink>
        <a:srgbClr val="3C3C3C"/>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Roy14</b:Tag>
    <b:SourceType>InternetSite</b:SourceType>
    <b:Guid>{4C22D2F4-DDB8-42B3-A8B0-5C9EAB61DDC6}</b:Guid>
    <b:Author>
      <b:Author>
        <b:Corporate>Royal Australian College of General Practitioners</b:Corporate>
      </b:Author>
    </b:Author>
    <b:Title>What is General Practice?</b:Title>
    <b:InternetSiteTitle>http://www.racgp.org.au/</b:InternetSiteTitle>
    <b:YearAccessed>2014</b:YearAccessed>
    <b:MonthAccessed>June</b:MonthAccessed>
    <b:DayAccessed>5</b:DayAccessed>
    <b:URL>http://www.racgp.org.au/becomingagp/what-is-a-gp/what-is-general-practice/</b:URL>
    <b:RefOrder>2</b:RefOrder>
  </b:Source>
</b:Sources>
</file>

<file path=customXml/itemProps1.xml><?xml version="1.0" encoding="utf-8"?>
<ds:datastoreItem xmlns:ds="http://schemas.openxmlformats.org/officeDocument/2006/customXml" ds:itemID="{50361F48-BA77-49DA-A0CB-0A9D2250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10</Pages>
  <Words>3547</Words>
  <Characters>20645</Characters>
  <Application>Microsoft Office Word</Application>
  <DocSecurity>0</DocSecurity>
  <Lines>448</Lines>
  <Paragraphs>155</Paragraphs>
  <ScaleCrop>false</ScaleCrop>
  <HeadingPairs>
    <vt:vector size="2" baseType="variant">
      <vt:variant>
        <vt:lpstr>Title</vt:lpstr>
      </vt:variant>
      <vt:variant>
        <vt:i4>1</vt:i4>
      </vt:variant>
    </vt:vector>
  </HeadingPairs>
  <TitlesOfParts>
    <vt:vector size="1" baseType="lpstr">
      <vt:lpstr/>
    </vt:vector>
  </TitlesOfParts>
  <Company>Rural Health West</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sdaniels</dc:creator>
  <cp:lastModifiedBy>Azyan Arzelan</cp:lastModifiedBy>
  <cp:revision>35</cp:revision>
  <cp:lastPrinted>2017-12-11T02:59:00Z</cp:lastPrinted>
  <dcterms:created xsi:type="dcterms:W3CDTF">2017-11-20T05:10:00Z</dcterms:created>
  <dcterms:modified xsi:type="dcterms:W3CDTF">2018-03-08T07:46:00Z</dcterms:modified>
</cp:coreProperties>
</file>