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BED8" w14:textId="0C0BFFB5" w:rsidR="001D2C8B" w:rsidRPr="00547DCF" w:rsidRDefault="00033F88" w:rsidP="00033F88">
      <w:pPr>
        <w:spacing w:after="120"/>
        <w:rPr>
          <w:rFonts w:asciiTheme="majorHAnsi" w:hAnsiTheme="majorHAnsi"/>
          <w:sz w:val="24"/>
          <w:szCs w:val="24"/>
          <w:lang w:val="en-US"/>
        </w:rPr>
      </w:pPr>
      <w:r w:rsidRPr="00547DCF">
        <w:rPr>
          <w:rFonts w:asciiTheme="majorHAnsi" w:hAnsiTheme="majorHAnsi"/>
          <w:sz w:val="24"/>
          <w:szCs w:val="24"/>
          <w:lang w:val="en-US"/>
        </w:rPr>
        <w:t xml:space="preserve">The principles of ambulatory alcohol withdrawal </w:t>
      </w:r>
      <w:r w:rsidR="00641C97" w:rsidRPr="00547DCF">
        <w:rPr>
          <w:rFonts w:asciiTheme="majorHAnsi" w:hAnsiTheme="majorHAnsi"/>
          <w:sz w:val="24"/>
          <w:szCs w:val="24"/>
          <w:lang w:val="en-US"/>
        </w:rPr>
        <w:t>in response to COVID-19 are no different from withdrawal under usual circumstances</w:t>
      </w:r>
      <w:r w:rsidRPr="00547DCF">
        <w:rPr>
          <w:rFonts w:asciiTheme="majorHAnsi" w:hAnsiTheme="majorHAnsi"/>
          <w:sz w:val="24"/>
          <w:szCs w:val="24"/>
          <w:lang w:val="en-US"/>
        </w:rPr>
        <w:t>. However, less frequent attendance at clinics for face-to-face consultations is appropriate, as is less frequent dispensing of medications in order to facilitate reduced social contact.</w:t>
      </w:r>
      <w:r w:rsidR="00641C97" w:rsidRPr="00547DCF">
        <w:rPr>
          <w:rFonts w:asciiTheme="majorHAnsi" w:hAnsiTheme="majorHAnsi"/>
          <w:sz w:val="24"/>
          <w:szCs w:val="24"/>
          <w:lang w:val="en-US"/>
        </w:rPr>
        <w:t xml:space="preserve"> Carer engagement and consumer written information regarding withdrawal management are of heightened importance under the circumstances.</w:t>
      </w:r>
    </w:p>
    <w:p w14:paraId="1D9E39A0" w14:textId="77777777" w:rsidR="00547DCF" w:rsidRPr="00547DCF" w:rsidRDefault="00547DCF" w:rsidP="00547DCF">
      <w:pPr>
        <w:rPr>
          <w:rFonts w:asciiTheme="majorHAnsi" w:eastAsia="Calibri" w:hAnsiTheme="majorHAnsi"/>
          <w:noProof w:val="0"/>
          <w:color w:val="C00000"/>
          <w:sz w:val="24"/>
          <w:szCs w:val="24"/>
          <w:lang w:val="en-US" w:eastAsia="en-US"/>
        </w:rPr>
      </w:pPr>
      <w:r w:rsidRPr="00547DC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US" w:eastAsia="en-US"/>
        </w:rPr>
        <w:t>Typical alcohol use features of individuals with alcohol dependence</w:t>
      </w:r>
      <w:r w:rsidRPr="00547DCF">
        <w:rPr>
          <w:rFonts w:asciiTheme="majorHAnsi" w:eastAsia="Calibri" w:hAnsiTheme="majorHAnsi"/>
          <w:noProof w:val="0"/>
          <w:color w:val="C00000"/>
          <w:sz w:val="24"/>
          <w:szCs w:val="24"/>
          <w:lang w:val="en-US" w:eastAsia="en-US"/>
        </w:rPr>
        <w:t>:</w:t>
      </w:r>
    </w:p>
    <w:p w14:paraId="5A156DD7" w14:textId="77777777" w:rsidR="00547DCF" w:rsidRPr="00547DCF" w:rsidRDefault="00547DCF" w:rsidP="00F577FB">
      <w:pPr>
        <w:numPr>
          <w:ilvl w:val="0"/>
          <w:numId w:val="2"/>
        </w:numPr>
        <w:ind w:left="714" w:hanging="357"/>
        <w:contextualSpacing/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US"/>
        </w:rPr>
        <w:t>High intake of alcohol (more than a bottle of wine, six pack of beer or ½ a bottle of spirits per day)</w:t>
      </w:r>
    </w:p>
    <w:p w14:paraId="0323AC39" w14:textId="77777777" w:rsidR="00547DCF" w:rsidRPr="00547DCF" w:rsidRDefault="00547DCF" w:rsidP="00F577FB">
      <w:pPr>
        <w:numPr>
          <w:ilvl w:val="0"/>
          <w:numId w:val="2"/>
        </w:numPr>
        <w:ind w:left="714" w:hanging="357"/>
        <w:contextualSpacing/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US"/>
        </w:rPr>
        <w:t>Few or no alcohol free days</w:t>
      </w:r>
    </w:p>
    <w:p w14:paraId="0A92B564" w14:textId="77777777" w:rsidR="00547DCF" w:rsidRPr="00547DCF" w:rsidRDefault="00547DCF" w:rsidP="00F577FB">
      <w:pPr>
        <w:numPr>
          <w:ilvl w:val="0"/>
          <w:numId w:val="2"/>
        </w:numPr>
        <w:ind w:left="714" w:hanging="357"/>
        <w:contextualSpacing/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US"/>
        </w:rPr>
        <w:t>Drinking commences before noon</w:t>
      </w:r>
    </w:p>
    <w:p w14:paraId="39457707" w14:textId="77777777" w:rsidR="00547DCF" w:rsidRPr="00547DCF" w:rsidRDefault="00547DCF" w:rsidP="00F577FB">
      <w:pPr>
        <w:numPr>
          <w:ilvl w:val="0"/>
          <w:numId w:val="2"/>
        </w:numPr>
        <w:ind w:left="714" w:hanging="357"/>
        <w:contextualSpacing/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US"/>
        </w:rPr>
        <w:t>Continued drinking despite significant associated medical features (cirrhosis, pancreatitis, peptic ulcer, peripheral neuropathy)</w:t>
      </w:r>
    </w:p>
    <w:p w14:paraId="38F40CC5" w14:textId="77777777" w:rsidR="00547DCF" w:rsidRPr="00547DCF" w:rsidRDefault="00547DCF" w:rsidP="00F577FB">
      <w:pPr>
        <w:numPr>
          <w:ilvl w:val="0"/>
          <w:numId w:val="2"/>
        </w:numPr>
        <w:ind w:left="714" w:hanging="357"/>
        <w:contextualSpacing/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US"/>
        </w:rPr>
        <w:t>Continued drinking despite significant psychosocial consequences e.g. relationship / employment problems, DUI charges (</w:t>
      </w:r>
      <w:proofErr w:type="spellStart"/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US"/>
        </w:rPr>
        <w:t>esp</w:t>
      </w:r>
      <w:proofErr w:type="spellEnd"/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US"/>
        </w:rPr>
        <w:t xml:space="preserve"> if multiple)</w:t>
      </w:r>
    </w:p>
    <w:p w14:paraId="059AA5D4" w14:textId="77777777" w:rsidR="00547DCF" w:rsidRPr="00547DCF" w:rsidRDefault="00547DCF" w:rsidP="00547DCF">
      <w:pPr>
        <w:rPr>
          <w:rFonts w:asciiTheme="majorHAnsi" w:eastAsia="Calibri" w:hAnsiTheme="majorHAnsi"/>
          <w:noProof w:val="0"/>
          <w:sz w:val="24"/>
          <w:szCs w:val="24"/>
          <w:lang w:val="en-US" w:eastAsia="en-US"/>
        </w:rPr>
      </w:pPr>
    </w:p>
    <w:p w14:paraId="18D87BB4" w14:textId="77777777" w:rsidR="00547DCF" w:rsidRPr="00547DCF" w:rsidRDefault="00547DCF" w:rsidP="00547DCF">
      <w:pPr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US" w:eastAsia="en-US"/>
        </w:rPr>
      </w:pPr>
      <w:r w:rsidRPr="00547DC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US" w:eastAsia="en-US"/>
        </w:rPr>
        <w:t>Assessment may include:</w:t>
      </w:r>
    </w:p>
    <w:p w14:paraId="440E5905" w14:textId="77777777" w:rsidR="00547DCF" w:rsidRPr="00547DCF" w:rsidRDefault="00547DCF" w:rsidP="00F577FB">
      <w:pPr>
        <w:numPr>
          <w:ilvl w:val="0"/>
          <w:numId w:val="3"/>
        </w:numPr>
        <w:contextualSpacing/>
        <w:rPr>
          <w:rFonts w:asciiTheme="majorHAnsi" w:eastAsia="Calibri" w:hAnsiTheme="majorHAnsi"/>
          <w:noProof w:val="0"/>
          <w:sz w:val="24"/>
          <w:szCs w:val="24"/>
          <w:lang w:val="en-GB" w:eastAsia="en-GB"/>
        </w:rPr>
      </w:pPr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GB"/>
        </w:rPr>
        <w:t>Alcohol use history with daily alcohol consumption, time of day of 1</w:t>
      </w:r>
      <w:r w:rsidRPr="00547DCF">
        <w:rPr>
          <w:rFonts w:asciiTheme="majorHAnsi" w:eastAsia="Calibri" w:hAnsiTheme="majorHAnsi"/>
          <w:noProof w:val="0"/>
          <w:sz w:val="24"/>
          <w:szCs w:val="24"/>
          <w:vertAlign w:val="superscript"/>
          <w:lang w:val="en-US" w:eastAsia="en-GB"/>
        </w:rPr>
        <w:t>st</w:t>
      </w:r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GB"/>
        </w:rPr>
        <w:t xml:space="preserve"> drink, history of complicating features (including past of current other substance use problems or complex withdrawal experience such as seizures).</w:t>
      </w:r>
    </w:p>
    <w:p w14:paraId="7579EA3B" w14:textId="77777777" w:rsidR="00547DCF" w:rsidRPr="00547DCF" w:rsidRDefault="00547DCF" w:rsidP="00F577FB">
      <w:pPr>
        <w:numPr>
          <w:ilvl w:val="0"/>
          <w:numId w:val="3"/>
        </w:numPr>
        <w:contextualSpacing/>
        <w:rPr>
          <w:rFonts w:asciiTheme="majorHAnsi" w:eastAsia="Calibri" w:hAnsiTheme="majorHAnsi"/>
          <w:noProof w:val="0"/>
          <w:sz w:val="24"/>
          <w:szCs w:val="24"/>
          <w:lang w:val="en-GB" w:eastAsia="en-GB"/>
        </w:rPr>
      </w:pPr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GB"/>
        </w:rPr>
        <w:t>Focused examination – features of chronic liver disease or other health conditions related to overuse of alcohol.</w:t>
      </w:r>
    </w:p>
    <w:p w14:paraId="611BDC55" w14:textId="77777777" w:rsidR="00547DCF" w:rsidRPr="00547DCF" w:rsidRDefault="00547DCF" w:rsidP="00F577FB">
      <w:pPr>
        <w:numPr>
          <w:ilvl w:val="0"/>
          <w:numId w:val="3"/>
        </w:numPr>
        <w:contextualSpacing/>
        <w:rPr>
          <w:rFonts w:asciiTheme="majorHAnsi" w:eastAsia="Calibri" w:hAnsiTheme="majorHAnsi"/>
          <w:noProof w:val="0"/>
          <w:sz w:val="24"/>
          <w:szCs w:val="24"/>
          <w:lang w:val="en-GB" w:eastAsia="en-GB"/>
        </w:rPr>
      </w:pPr>
      <w:r w:rsidRPr="00547DCF">
        <w:rPr>
          <w:rFonts w:asciiTheme="majorHAnsi" w:eastAsia="Calibri" w:hAnsiTheme="majorHAnsi"/>
          <w:noProof w:val="0"/>
          <w:sz w:val="24"/>
          <w:szCs w:val="24"/>
          <w:lang w:val="en-US" w:eastAsia="en-GB"/>
        </w:rPr>
        <w:t>Investigations e.g. FBP, LFT, U&amp;E, liver ultrasound</w:t>
      </w:r>
    </w:p>
    <w:p w14:paraId="01CDE97E" w14:textId="52CF5360" w:rsidR="001D2C8B" w:rsidRPr="00547DCF" w:rsidRDefault="001D2C8B" w:rsidP="001D2C8B">
      <w:pPr>
        <w:spacing w:after="120"/>
        <w:jc w:val="both"/>
        <w:rPr>
          <w:rFonts w:asciiTheme="majorHAnsi" w:hAnsiTheme="majorHAnsi"/>
          <w:sz w:val="24"/>
          <w:szCs w:val="24"/>
          <w:lang w:val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1D2C8B" w:rsidRPr="00547DCF" w14:paraId="56B501EE" w14:textId="77777777" w:rsidTr="00641C97">
        <w:tc>
          <w:tcPr>
            <w:tcW w:w="2802" w:type="dxa"/>
            <w:shd w:val="clear" w:color="auto" w:fill="auto"/>
          </w:tcPr>
          <w:p w14:paraId="53832891" w14:textId="3EF71128" w:rsidR="001D2C8B" w:rsidRPr="00547DCF" w:rsidRDefault="00641C97" w:rsidP="00641C97">
            <w:pPr>
              <w:spacing w:before="60" w:after="60"/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 w:rsidRPr="00547DCF"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Aspects of management</w:t>
            </w:r>
          </w:p>
        </w:tc>
        <w:tc>
          <w:tcPr>
            <w:tcW w:w="6945" w:type="dxa"/>
            <w:shd w:val="clear" w:color="auto" w:fill="auto"/>
          </w:tcPr>
          <w:p w14:paraId="69B81971" w14:textId="5F2B6629" w:rsidR="001D2C8B" w:rsidRPr="00547DCF" w:rsidRDefault="00641C97" w:rsidP="00641C97">
            <w:pPr>
              <w:spacing w:before="60" w:after="60"/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 w:rsidRPr="00547DCF"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 xml:space="preserve">Preferred </w:t>
            </w:r>
            <w:r w:rsidR="00547DCF"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 xml:space="preserve">withdrawal management </w:t>
            </w:r>
            <w:r w:rsidRPr="00547DCF"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features</w:t>
            </w:r>
          </w:p>
        </w:tc>
      </w:tr>
      <w:tr w:rsidR="001D2C8B" w:rsidRPr="00547DCF" w14:paraId="1A5E62BD" w14:textId="77777777" w:rsidTr="00641C97">
        <w:tc>
          <w:tcPr>
            <w:tcW w:w="2802" w:type="dxa"/>
            <w:shd w:val="clear" w:color="auto" w:fill="auto"/>
          </w:tcPr>
          <w:p w14:paraId="7917E74B" w14:textId="64D39129" w:rsidR="001D2C8B" w:rsidRPr="00547DCF" w:rsidRDefault="00641C97" w:rsidP="00641C9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47DCF">
              <w:rPr>
                <w:rFonts w:asciiTheme="majorHAnsi" w:hAnsiTheme="majorHAnsi"/>
                <w:sz w:val="24"/>
                <w:szCs w:val="24"/>
                <w:lang w:val="en-US"/>
              </w:rPr>
              <w:t>Setting and supports</w:t>
            </w:r>
          </w:p>
        </w:tc>
        <w:tc>
          <w:tcPr>
            <w:tcW w:w="6945" w:type="dxa"/>
            <w:shd w:val="clear" w:color="auto" w:fill="auto"/>
          </w:tcPr>
          <w:p w14:paraId="25110E4D" w14:textId="0A84207A" w:rsidR="001D2C8B" w:rsidRPr="00547DCF" w:rsidRDefault="00641C97" w:rsidP="00641C9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47DCF">
              <w:rPr>
                <w:rFonts w:asciiTheme="majorHAnsi" w:hAnsiTheme="majorHAnsi"/>
                <w:sz w:val="24"/>
                <w:szCs w:val="24"/>
                <w:lang w:val="en-US"/>
              </w:rPr>
              <w:t>Stable housing, a supportive carer (preferably nondrinker, available and willing to support the client, including overseeing medications)</w:t>
            </w:r>
          </w:p>
        </w:tc>
      </w:tr>
      <w:tr w:rsidR="001D2C8B" w:rsidRPr="00547DCF" w14:paraId="57CF9E36" w14:textId="77777777" w:rsidTr="00641C97">
        <w:tc>
          <w:tcPr>
            <w:tcW w:w="2802" w:type="dxa"/>
            <w:shd w:val="clear" w:color="auto" w:fill="auto"/>
          </w:tcPr>
          <w:p w14:paraId="31FE9A11" w14:textId="376C01D2" w:rsidR="001D2C8B" w:rsidRPr="00547DCF" w:rsidRDefault="00641C97" w:rsidP="00641C9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47DCF">
              <w:rPr>
                <w:rFonts w:asciiTheme="majorHAnsi" w:hAnsiTheme="majorHAnsi"/>
                <w:sz w:val="24"/>
                <w:szCs w:val="24"/>
                <w:lang w:val="en-US"/>
              </w:rPr>
              <w:t>Nutrition: meals and fluids</w:t>
            </w:r>
          </w:p>
        </w:tc>
        <w:tc>
          <w:tcPr>
            <w:tcW w:w="6945" w:type="dxa"/>
            <w:shd w:val="clear" w:color="auto" w:fill="auto"/>
          </w:tcPr>
          <w:p w14:paraId="0F695ADE" w14:textId="7D749033" w:rsidR="001D2C8B" w:rsidRPr="00547DCF" w:rsidRDefault="00641C97" w:rsidP="00641C9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47DCF">
              <w:rPr>
                <w:rFonts w:asciiTheme="majorHAnsi" w:hAnsiTheme="majorHAnsi"/>
                <w:sz w:val="24"/>
                <w:szCs w:val="24"/>
                <w:lang w:val="en-US"/>
              </w:rPr>
              <w:t>Regular meals, nutritious meals (i.e. some fruit, vegetables, some meat, minimal sweets). Plenty of fluids – water, tea, coffee, fruit juice</w:t>
            </w:r>
          </w:p>
        </w:tc>
      </w:tr>
      <w:tr w:rsidR="001D2C8B" w:rsidRPr="00547DCF" w14:paraId="761EBDFB" w14:textId="77777777" w:rsidTr="00641C97">
        <w:tc>
          <w:tcPr>
            <w:tcW w:w="2802" w:type="dxa"/>
            <w:shd w:val="clear" w:color="auto" w:fill="auto"/>
          </w:tcPr>
          <w:p w14:paraId="52F553DC" w14:textId="458E9B32" w:rsidR="001D2C8B" w:rsidRPr="00547DCF" w:rsidRDefault="00641C97" w:rsidP="00641C9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47DCF">
              <w:rPr>
                <w:rFonts w:asciiTheme="majorHAnsi" w:hAnsiTheme="majorHAnsi"/>
                <w:sz w:val="24"/>
                <w:szCs w:val="24"/>
                <w:lang w:val="en-US"/>
              </w:rPr>
              <w:t>Medication</w:t>
            </w:r>
          </w:p>
        </w:tc>
        <w:tc>
          <w:tcPr>
            <w:tcW w:w="6945" w:type="dxa"/>
            <w:shd w:val="clear" w:color="auto" w:fill="auto"/>
          </w:tcPr>
          <w:p w14:paraId="289EFB63" w14:textId="072FAF3C" w:rsidR="001D2C8B" w:rsidRPr="00547DCF" w:rsidRDefault="00641C97" w:rsidP="00241478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47DCF">
              <w:rPr>
                <w:rFonts w:asciiTheme="majorHAnsi" w:hAnsiTheme="majorHAnsi"/>
                <w:sz w:val="24"/>
                <w:szCs w:val="24"/>
                <w:lang w:val="en-US"/>
              </w:rPr>
              <w:t>See below.</w:t>
            </w:r>
            <w:r w:rsidR="0024147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Supervision of medication by an adult non-drinker is recommended.</w:t>
            </w:r>
          </w:p>
        </w:tc>
      </w:tr>
    </w:tbl>
    <w:p w14:paraId="50710368" w14:textId="18A6A597" w:rsidR="001D6A86" w:rsidRPr="001D6A86" w:rsidRDefault="00033F88" w:rsidP="0024147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</w:pPr>
      <w:r w:rsidRPr="00547DCF">
        <w:rPr>
          <w:rFonts w:asciiTheme="majorHAnsi" w:hAnsiTheme="majorHAnsi"/>
          <w:sz w:val="24"/>
          <w:szCs w:val="24"/>
          <w:lang w:val="en-US"/>
        </w:rPr>
        <w:br w:type="textWrapping" w:clear="all"/>
      </w:r>
      <w:r w:rsidR="001D6A86" w:rsidRPr="001D6A86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>Diazepam based withdrawal management</w:t>
      </w:r>
    </w:p>
    <w:tbl>
      <w:tblPr>
        <w:tblStyle w:val="TableGrid1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87"/>
      </w:tblGrid>
      <w:tr w:rsidR="001D6A86" w:rsidRPr="001D6A86" w14:paraId="1387E892" w14:textId="77777777" w:rsidTr="00B245FD">
        <w:tc>
          <w:tcPr>
            <w:tcW w:w="4106" w:type="dxa"/>
          </w:tcPr>
          <w:p w14:paraId="023E6F6E" w14:textId="77777777" w:rsidR="001D6A86" w:rsidRPr="001D6A86" w:rsidRDefault="001D6A86" w:rsidP="001D6A86">
            <w:pPr>
              <w:rPr>
                <w:rFonts w:asciiTheme="majorHAnsi" w:hAnsiTheme="majorHAnsi"/>
                <w:noProof w:val="0"/>
                <w:lang w:eastAsia="en-US"/>
              </w:rPr>
            </w:pPr>
            <w:r w:rsidRPr="001D6A86">
              <w:rPr>
                <w:rFonts w:asciiTheme="majorHAnsi" w:hAnsiTheme="majorHAnsi"/>
                <w:noProof w:val="0"/>
                <w:lang w:eastAsia="en-US"/>
              </w:rPr>
              <w:t>Day 1:</w:t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  <w:t xml:space="preserve">5mg to 10mg </w:t>
            </w:r>
            <w:proofErr w:type="spellStart"/>
            <w:r w:rsidRPr="001D6A86">
              <w:rPr>
                <w:rFonts w:asciiTheme="majorHAnsi" w:hAnsiTheme="majorHAnsi"/>
                <w:noProof w:val="0"/>
                <w:lang w:eastAsia="en-US"/>
              </w:rPr>
              <w:t>qid</w:t>
            </w:r>
            <w:proofErr w:type="spellEnd"/>
          </w:p>
          <w:p w14:paraId="30457553" w14:textId="77777777" w:rsidR="001D6A86" w:rsidRPr="001D6A86" w:rsidRDefault="001D6A86" w:rsidP="001D6A86">
            <w:pPr>
              <w:rPr>
                <w:rFonts w:asciiTheme="majorHAnsi" w:hAnsiTheme="majorHAnsi"/>
                <w:noProof w:val="0"/>
                <w:lang w:eastAsia="en-US"/>
              </w:rPr>
            </w:pPr>
            <w:r w:rsidRPr="001D6A86">
              <w:rPr>
                <w:rFonts w:asciiTheme="majorHAnsi" w:hAnsiTheme="majorHAnsi"/>
                <w:noProof w:val="0"/>
                <w:lang w:eastAsia="en-US"/>
              </w:rPr>
              <w:t>Day 2:</w:t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  <w:t xml:space="preserve">5mg to 10mg </w:t>
            </w:r>
            <w:proofErr w:type="spellStart"/>
            <w:r w:rsidRPr="001D6A86">
              <w:rPr>
                <w:rFonts w:asciiTheme="majorHAnsi" w:hAnsiTheme="majorHAnsi"/>
                <w:noProof w:val="0"/>
                <w:lang w:eastAsia="en-US"/>
              </w:rPr>
              <w:t>qid</w:t>
            </w:r>
            <w:proofErr w:type="spellEnd"/>
          </w:p>
          <w:p w14:paraId="73B2CAFE" w14:textId="77777777" w:rsidR="001D6A86" w:rsidRPr="001D6A86" w:rsidRDefault="001D6A86" w:rsidP="001D6A86">
            <w:pPr>
              <w:rPr>
                <w:rFonts w:asciiTheme="majorHAnsi" w:hAnsiTheme="majorHAnsi"/>
                <w:noProof w:val="0"/>
                <w:lang w:eastAsia="en-US"/>
              </w:rPr>
            </w:pPr>
            <w:r w:rsidRPr="001D6A86">
              <w:rPr>
                <w:rFonts w:asciiTheme="majorHAnsi" w:hAnsiTheme="majorHAnsi"/>
                <w:noProof w:val="0"/>
                <w:lang w:eastAsia="en-US"/>
              </w:rPr>
              <w:t xml:space="preserve">Day 3: </w:t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  <w:t xml:space="preserve">5mg to 10mg </w:t>
            </w:r>
            <w:proofErr w:type="spellStart"/>
            <w:r w:rsidRPr="001D6A86">
              <w:rPr>
                <w:rFonts w:asciiTheme="majorHAnsi" w:hAnsiTheme="majorHAnsi"/>
                <w:noProof w:val="0"/>
                <w:lang w:eastAsia="en-US"/>
              </w:rPr>
              <w:t>tds</w:t>
            </w:r>
            <w:proofErr w:type="spellEnd"/>
          </w:p>
          <w:p w14:paraId="2D225AF3" w14:textId="77777777" w:rsidR="001D6A86" w:rsidRPr="001D6A86" w:rsidRDefault="001D6A86" w:rsidP="001D6A86">
            <w:pPr>
              <w:rPr>
                <w:rFonts w:asciiTheme="majorHAnsi" w:hAnsiTheme="majorHAnsi"/>
                <w:noProof w:val="0"/>
                <w:lang w:eastAsia="en-US"/>
              </w:rPr>
            </w:pPr>
            <w:r w:rsidRPr="001D6A86">
              <w:rPr>
                <w:rFonts w:asciiTheme="majorHAnsi" w:hAnsiTheme="majorHAnsi"/>
                <w:noProof w:val="0"/>
                <w:lang w:eastAsia="en-US"/>
              </w:rPr>
              <w:t xml:space="preserve">Day 4: </w:t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  <w:t xml:space="preserve">5mg to 10mg </w:t>
            </w:r>
            <w:proofErr w:type="spellStart"/>
            <w:r w:rsidRPr="001D6A86">
              <w:rPr>
                <w:rFonts w:asciiTheme="majorHAnsi" w:hAnsiTheme="majorHAnsi"/>
                <w:noProof w:val="0"/>
                <w:lang w:eastAsia="en-US"/>
              </w:rPr>
              <w:t>bd</w:t>
            </w:r>
            <w:proofErr w:type="spellEnd"/>
          </w:p>
          <w:p w14:paraId="1A07ECAE" w14:textId="77777777" w:rsidR="001D6A86" w:rsidRPr="001D6A86" w:rsidRDefault="001D6A86" w:rsidP="001D6A86">
            <w:pPr>
              <w:rPr>
                <w:rFonts w:asciiTheme="majorHAnsi" w:hAnsiTheme="majorHAnsi"/>
                <w:noProof w:val="0"/>
                <w:lang w:eastAsia="en-US"/>
              </w:rPr>
            </w:pPr>
            <w:r w:rsidRPr="001D6A86">
              <w:rPr>
                <w:rFonts w:asciiTheme="majorHAnsi" w:hAnsiTheme="majorHAnsi"/>
                <w:noProof w:val="0"/>
                <w:lang w:eastAsia="en-US"/>
              </w:rPr>
              <w:t>Day 5:</w:t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</w:r>
            <w:r w:rsidRPr="001D6A86">
              <w:rPr>
                <w:rFonts w:asciiTheme="majorHAnsi" w:hAnsiTheme="majorHAnsi"/>
                <w:noProof w:val="0"/>
                <w:lang w:eastAsia="en-US"/>
              </w:rPr>
              <w:tab/>
              <w:t>5mg and cease</w:t>
            </w:r>
          </w:p>
        </w:tc>
        <w:tc>
          <w:tcPr>
            <w:tcW w:w="5287" w:type="dxa"/>
          </w:tcPr>
          <w:p w14:paraId="3D0F7EDE" w14:textId="77777777" w:rsidR="001D6A86" w:rsidRPr="001D6A86" w:rsidRDefault="001D6A86" w:rsidP="001D6A86">
            <w:pPr>
              <w:rPr>
                <w:rFonts w:asciiTheme="majorHAnsi" w:hAnsiTheme="majorHAnsi"/>
                <w:noProof w:val="0"/>
                <w:u w:val="single"/>
                <w:lang w:eastAsia="en-US"/>
              </w:rPr>
            </w:pPr>
            <w:r w:rsidRPr="001D6A86">
              <w:rPr>
                <w:rFonts w:asciiTheme="majorHAnsi" w:hAnsiTheme="majorHAnsi"/>
                <w:noProof w:val="0"/>
                <w:u w:val="single"/>
                <w:lang w:eastAsia="en-US"/>
              </w:rPr>
              <w:t xml:space="preserve">Important </w:t>
            </w:r>
          </w:p>
          <w:p w14:paraId="1682D235" w14:textId="77777777" w:rsidR="001D6A86" w:rsidRPr="001D6A86" w:rsidRDefault="001D6A86" w:rsidP="00F577FB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noProof w:val="0"/>
                <w:lang w:eastAsia="en-GB"/>
              </w:rPr>
            </w:pPr>
            <w:r w:rsidRPr="001D6A86">
              <w:rPr>
                <w:rFonts w:asciiTheme="majorHAnsi" w:hAnsiTheme="majorHAnsi"/>
                <w:noProof w:val="0"/>
                <w:lang w:eastAsia="en-GB"/>
              </w:rPr>
              <w:t>Cease diazepam after 5 to 7 days</w:t>
            </w:r>
          </w:p>
          <w:p w14:paraId="33C700A3" w14:textId="115DB442" w:rsidR="001D6A86" w:rsidRPr="001D6A86" w:rsidRDefault="001D6A86" w:rsidP="00F577FB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noProof w:val="0"/>
                <w:lang w:eastAsia="en-GB"/>
              </w:rPr>
            </w:pPr>
            <w:r w:rsidRPr="001D6A86">
              <w:rPr>
                <w:rFonts w:asciiTheme="majorHAnsi" w:hAnsiTheme="majorHAnsi"/>
                <w:noProof w:val="0"/>
                <w:lang w:eastAsia="en-GB"/>
              </w:rPr>
              <w:t xml:space="preserve">Review </w:t>
            </w:r>
            <w:r w:rsidR="00547DCF" w:rsidRPr="00547DCF">
              <w:rPr>
                <w:rFonts w:asciiTheme="majorHAnsi" w:hAnsiTheme="majorHAnsi"/>
                <w:noProof w:val="0"/>
                <w:lang w:eastAsia="en-GB"/>
              </w:rPr>
              <w:t xml:space="preserve">patient </w:t>
            </w:r>
            <w:r w:rsidRPr="001D6A86">
              <w:rPr>
                <w:rFonts w:asciiTheme="majorHAnsi" w:hAnsiTheme="majorHAnsi"/>
                <w:noProof w:val="0"/>
                <w:lang w:eastAsia="en-GB"/>
              </w:rPr>
              <w:t>(</w:t>
            </w:r>
            <w:proofErr w:type="spellStart"/>
            <w:r w:rsidRPr="001D6A86">
              <w:rPr>
                <w:rFonts w:asciiTheme="majorHAnsi" w:hAnsiTheme="majorHAnsi"/>
                <w:noProof w:val="0"/>
                <w:lang w:eastAsia="en-GB"/>
              </w:rPr>
              <w:t>eg</w:t>
            </w:r>
            <w:proofErr w:type="spellEnd"/>
            <w:r w:rsidRPr="001D6A86">
              <w:rPr>
                <w:rFonts w:asciiTheme="majorHAnsi" w:hAnsiTheme="majorHAnsi"/>
                <w:noProof w:val="0"/>
                <w:lang w:eastAsia="en-GB"/>
              </w:rPr>
              <w:t xml:space="preserve"> </w:t>
            </w:r>
            <w:r w:rsidR="00CF2454" w:rsidRPr="00547DCF">
              <w:rPr>
                <w:rFonts w:asciiTheme="majorHAnsi" w:hAnsiTheme="majorHAnsi"/>
                <w:noProof w:val="0"/>
                <w:lang w:eastAsia="en-GB"/>
              </w:rPr>
              <w:t>2</w:t>
            </w:r>
            <w:r w:rsidR="00CF2454" w:rsidRPr="00547DCF">
              <w:rPr>
                <w:rFonts w:asciiTheme="majorHAnsi" w:hAnsiTheme="majorHAnsi"/>
                <w:noProof w:val="0"/>
                <w:vertAlign w:val="superscript"/>
                <w:lang w:eastAsia="en-GB"/>
              </w:rPr>
              <w:t>nd</w:t>
            </w:r>
            <w:r w:rsidR="00CF2454" w:rsidRPr="00547DCF">
              <w:rPr>
                <w:rFonts w:asciiTheme="majorHAnsi" w:hAnsiTheme="majorHAnsi"/>
                <w:noProof w:val="0"/>
                <w:lang w:eastAsia="en-GB"/>
              </w:rPr>
              <w:t xml:space="preserve"> </w:t>
            </w:r>
            <w:r w:rsidRPr="001D6A86">
              <w:rPr>
                <w:rFonts w:asciiTheme="majorHAnsi" w:hAnsiTheme="majorHAnsi"/>
                <w:noProof w:val="0"/>
                <w:lang w:eastAsia="en-GB"/>
              </w:rPr>
              <w:t>to 3</w:t>
            </w:r>
            <w:r w:rsidRPr="001D6A86">
              <w:rPr>
                <w:rFonts w:asciiTheme="majorHAnsi" w:hAnsiTheme="majorHAnsi"/>
                <w:noProof w:val="0"/>
                <w:vertAlign w:val="superscript"/>
                <w:lang w:eastAsia="en-GB"/>
              </w:rPr>
              <w:t>rd</w:t>
            </w:r>
            <w:r w:rsidRPr="001D6A86">
              <w:rPr>
                <w:rFonts w:asciiTheme="majorHAnsi" w:hAnsiTheme="majorHAnsi"/>
                <w:noProof w:val="0"/>
                <w:lang w:eastAsia="en-GB"/>
              </w:rPr>
              <w:t xml:space="preserve"> daily)</w:t>
            </w:r>
            <w:r w:rsidR="00CF2454" w:rsidRPr="00547DCF">
              <w:rPr>
                <w:rFonts w:asciiTheme="majorHAnsi" w:hAnsiTheme="majorHAnsi"/>
                <w:noProof w:val="0"/>
                <w:lang w:eastAsia="en-GB"/>
              </w:rPr>
              <w:t xml:space="preserve"> </w:t>
            </w:r>
          </w:p>
          <w:p w14:paraId="279C9A70" w14:textId="77777777" w:rsidR="00547DCF" w:rsidRPr="00547DCF" w:rsidRDefault="00547DCF" w:rsidP="00F577FB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noProof w:val="0"/>
                <w:lang w:eastAsia="en-GB"/>
              </w:rPr>
            </w:pPr>
            <w:r w:rsidRPr="00547DCF">
              <w:rPr>
                <w:rFonts w:asciiTheme="majorHAnsi" w:hAnsiTheme="majorHAnsi"/>
                <w:noProof w:val="0"/>
                <w:lang w:eastAsia="en-GB"/>
              </w:rPr>
              <w:t xml:space="preserve">Advise - stop diazepam if drinking continues </w:t>
            </w:r>
          </w:p>
          <w:p w14:paraId="74704EB2" w14:textId="4E6713B8" w:rsidR="001D6A86" w:rsidRPr="001D6A86" w:rsidRDefault="00241478" w:rsidP="00F577FB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noProof w:val="0"/>
                <w:lang w:eastAsia="en-GB"/>
              </w:rPr>
            </w:pPr>
            <w:r>
              <w:rPr>
                <w:rFonts w:asciiTheme="majorHAnsi" w:hAnsiTheme="majorHAnsi"/>
                <w:noProof w:val="0"/>
                <w:lang w:eastAsia="en-GB"/>
              </w:rPr>
              <w:t xml:space="preserve">Give </w:t>
            </w:r>
            <w:r w:rsidR="001D6A86" w:rsidRPr="001D6A86">
              <w:rPr>
                <w:rFonts w:asciiTheme="majorHAnsi" w:hAnsiTheme="majorHAnsi"/>
                <w:noProof w:val="0"/>
                <w:lang w:eastAsia="en-GB"/>
              </w:rPr>
              <w:t>advice regarding when to present to ED</w:t>
            </w:r>
          </w:p>
        </w:tc>
      </w:tr>
    </w:tbl>
    <w:p w14:paraId="08E3D7B0" w14:textId="69231D45" w:rsidR="00641C97" w:rsidRDefault="001D6A86" w:rsidP="00241478">
      <w:pPr>
        <w:spacing w:before="120" w:after="120"/>
        <w:jc w:val="both"/>
        <w:rPr>
          <w:rFonts w:asciiTheme="majorHAnsi" w:hAnsiTheme="majorHAnsi"/>
          <w:sz w:val="24"/>
          <w:szCs w:val="24"/>
          <w:lang w:val="en-US"/>
        </w:rPr>
      </w:pPr>
      <w:r w:rsidRPr="00547DCF">
        <w:rPr>
          <w:rFonts w:asciiTheme="majorHAnsi" w:hAnsiTheme="majorHAnsi"/>
          <w:sz w:val="24"/>
          <w:szCs w:val="24"/>
          <w:lang w:val="en-US"/>
        </w:rPr>
        <w:t xml:space="preserve">Note – prescribe only the amount estimated to be required e.g. maximum 25 tablets </w:t>
      </w:r>
    </w:p>
    <w:p w14:paraId="27708181" w14:textId="4B57CC63" w:rsidR="00740963" w:rsidRPr="00547DCF" w:rsidRDefault="00740963" w:rsidP="001D2C8B">
      <w:pPr>
        <w:spacing w:after="1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Consider addition of metaclopramide (Maxalon) or similar.</w:t>
      </w:r>
    </w:p>
    <w:p w14:paraId="0817FDB5" w14:textId="70F392E8" w:rsidR="008157BF" w:rsidRPr="008157BF" w:rsidRDefault="008157BF" w:rsidP="008157BF">
      <w:pPr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</w:pPr>
      <w:r w:rsidRPr="008157B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lastRenderedPageBreak/>
        <w:t>Recommend thiamine:</w:t>
      </w:r>
      <w:r w:rsidRPr="008157BF">
        <w:rPr>
          <w:rFonts w:asciiTheme="majorHAnsi" w:eastAsia="Calibri" w:hAnsiTheme="majorHAnsi"/>
          <w:noProof w:val="0"/>
          <w:color w:val="C00000"/>
          <w:sz w:val="24"/>
          <w:szCs w:val="24"/>
          <w:lang w:val="en-GB" w:eastAsia="en-US"/>
        </w:rPr>
        <w:t xml:space="preserve"> </w:t>
      </w: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  <w:t xml:space="preserve">100mg </w:t>
      </w:r>
      <w:proofErr w:type="spellStart"/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  <w:t>tds</w:t>
      </w:r>
      <w:proofErr w:type="spellEnd"/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  <w:t xml:space="preserve"> for 7 days, then 100mg daily </w:t>
      </w:r>
      <w:r w:rsidR="00740963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  <w:t>for 3 weeks.</w:t>
      </w:r>
    </w:p>
    <w:p w14:paraId="1B6CBB8F" w14:textId="77777777" w:rsidR="008157BF" w:rsidRDefault="008157BF" w:rsidP="008157BF">
      <w:pPr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FE2297" w14:paraId="0EE56796" w14:textId="77777777" w:rsidTr="00FE2297">
        <w:tc>
          <w:tcPr>
            <w:tcW w:w="9857" w:type="dxa"/>
          </w:tcPr>
          <w:p w14:paraId="1A364D1A" w14:textId="79E34A33" w:rsidR="00FE2297" w:rsidRPr="00255BC0" w:rsidRDefault="00FE2297" w:rsidP="00FE2297">
            <w:pPr>
              <w:rPr>
                <w:rFonts w:asciiTheme="majorHAnsi" w:eastAsia="Calibri" w:hAnsiTheme="majorHAnsi"/>
                <w:b/>
                <w:noProof w:val="0"/>
                <w:color w:val="C00000"/>
                <w:sz w:val="24"/>
                <w:szCs w:val="24"/>
                <w:lang w:val="en-GB" w:eastAsia="en-US"/>
              </w:rPr>
            </w:pPr>
            <w:r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asciiTheme="majorHAnsi" w:eastAsia="Calibri" w:hAnsiTheme="majorHAnsi"/>
                <w:b/>
                <w:noProof w:val="0"/>
                <w:color w:val="C00000"/>
                <w:sz w:val="24"/>
                <w:szCs w:val="24"/>
                <w:lang w:val="en-GB" w:eastAsia="en-US"/>
              </w:rPr>
              <w:t xml:space="preserve">Prescribing diazepam is higher risk when: </w:t>
            </w:r>
          </w:p>
          <w:p w14:paraId="30389418" w14:textId="77777777" w:rsidR="00FE2297" w:rsidRPr="00255BC0" w:rsidRDefault="00FE2297" w:rsidP="00FE229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</w:pPr>
            <w: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>There is a</w:t>
            </w:r>
            <w:r w:rsidRPr="00255BC0"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 xml:space="preserve"> history of substance misuse or dependence (other than alcohol)</w:t>
            </w:r>
          </w:p>
          <w:p w14:paraId="059638A9" w14:textId="77777777" w:rsidR="00FE2297" w:rsidRPr="00255BC0" w:rsidRDefault="00FE2297" w:rsidP="00FE229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</w:pPr>
            <w: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>There is</w:t>
            </w:r>
            <w:r w:rsidRPr="00255BC0"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 xml:space="preserve"> evidence of intravenous drug use </w:t>
            </w:r>
          </w:p>
          <w:p w14:paraId="6F0859FF" w14:textId="77777777" w:rsidR="00FE2297" w:rsidRPr="00255BC0" w:rsidRDefault="00FE2297" w:rsidP="00FE229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</w:pPr>
            <w: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>There is</w:t>
            </w:r>
            <w:r w:rsidRPr="00255BC0"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 xml:space="preserve"> co-existing mental health problem (e.g. anxiety, depression, suicidal ideation, psychosis, personality disorder)</w:t>
            </w:r>
          </w:p>
          <w:p w14:paraId="2E718B17" w14:textId="77777777" w:rsidR="00FE2297" w:rsidRPr="00255BC0" w:rsidRDefault="00FE2297" w:rsidP="00FE229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</w:pPr>
            <w: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>The patient is</w:t>
            </w:r>
            <w:r w:rsidRPr="00255BC0"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 xml:space="preserve"> homeless</w:t>
            </w:r>
          </w:p>
          <w:p w14:paraId="54F1CA25" w14:textId="77777777" w:rsidR="00FE2297" w:rsidRPr="00255BC0" w:rsidRDefault="00FE2297" w:rsidP="00FE229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</w:pPr>
            <w: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>The patient is</w:t>
            </w:r>
            <w:r w:rsidRPr="00255BC0"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 xml:space="preserve"> reporting </w:t>
            </w:r>
            <w: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 xml:space="preserve">a </w:t>
            </w:r>
            <w:r w:rsidRPr="00255BC0"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 xml:space="preserve">chronic pain condition and seeking medication </w:t>
            </w:r>
          </w:p>
          <w:p w14:paraId="5AE4D0A5" w14:textId="77777777" w:rsidR="00FE2297" w:rsidRPr="00255BC0" w:rsidRDefault="00FE2297" w:rsidP="00FE229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</w:pPr>
            <w: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 xml:space="preserve">The patient </w:t>
            </w:r>
            <w:r w:rsidRPr="00255BC0"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>become</w:t>
            </w:r>
            <w:r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>s</w:t>
            </w:r>
            <w:r w:rsidRPr="00255BC0">
              <w:rPr>
                <w:rFonts w:asciiTheme="majorHAnsi" w:eastAsia="Calibri" w:hAnsiTheme="majorHAnsi"/>
                <w:color w:val="000000"/>
                <w:szCs w:val="24"/>
                <w:lang w:val="en-GB"/>
              </w:rPr>
              <w:t xml:space="preserve"> hostile / aggressive if requests for medication are unmet</w:t>
            </w:r>
          </w:p>
          <w:p w14:paraId="172536AA" w14:textId="77777777" w:rsidR="00FE2297" w:rsidRPr="008157BF" w:rsidRDefault="00FE2297" w:rsidP="00FE2297">
            <w:pPr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US"/>
              </w:rPr>
            </w:pPr>
          </w:p>
          <w:p w14:paraId="09AEE0BE" w14:textId="77777777" w:rsidR="00FE2297" w:rsidRPr="008157BF" w:rsidRDefault="00FE2297" w:rsidP="00FE2297">
            <w:pPr>
              <w:rPr>
                <w:rFonts w:asciiTheme="majorHAnsi" w:eastAsia="Calibri" w:hAnsiTheme="majorHAnsi"/>
                <w:b/>
                <w:noProof w:val="0"/>
                <w:color w:val="C00000"/>
                <w:sz w:val="24"/>
                <w:szCs w:val="24"/>
                <w:lang w:val="en-GB" w:eastAsia="en-US"/>
              </w:rPr>
            </w:pPr>
            <w:r w:rsidRPr="008157BF">
              <w:rPr>
                <w:rFonts w:asciiTheme="majorHAnsi" w:eastAsia="Calibri" w:hAnsiTheme="majorHAnsi"/>
                <w:b/>
                <w:noProof w:val="0"/>
                <w:color w:val="C00000"/>
                <w:sz w:val="24"/>
                <w:szCs w:val="24"/>
                <w:lang w:val="en-GB" w:eastAsia="en-US"/>
              </w:rPr>
              <w:t>Refer for specialist assessment and management when:</w:t>
            </w:r>
          </w:p>
          <w:p w14:paraId="14F0895B" w14:textId="77777777" w:rsidR="00FE2297" w:rsidRPr="008157BF" w:rsidRDefault="00FE2297" w:rsidP="00FE2297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</w:pPr>
            <w:r w:rsidRPr="008157BF"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  <w:t>Previous complex withdrawal (e.g. hallucinations, delirium, seizure)</w:t>
            </w:r>
          </w:p>
          <w:p w14:paraId="6AD2219A" w14:textId="77777777" w:rsidR="00FE2297" w:rsidRPr="008157BF" w:rsidRDefault="00FE2297" w:rsidP="00FE2297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</w:pPr>
            <w:r w:rsidRPr="008157BF"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  <w:t>Multiple substance use issues, past history of substance dependence (especially benzodiazepine abuse or dependence)</w:t>
            </w:r>
          </w:p>
          <w:p w14:paraId="1A5FFDF8" w14:textId="77777777" w:rsidR="00FE2297" w:rsidRPr="008157BF" w:rsidRDefault="00FE2297" w:rsidP="00FE2297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</w:pPr>
            <w:r w:rsidRPr="008157BF"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  <w:t>Significant physical illness e.g. cirrhosis</w:t>
            </w:r>
          </w:p>
          <w:p w14:paraId="6F9ED1A8" w14:textId="77777777" w:rsidR="00FE2297" w:rsidRPr="008157BF" w:rsidRDefault="00FE2297" w:rsidP="00FE2297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</w:pPr>
            <w:r w:rsidRPr="008157BF"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  <w:t>Significant mental health problems e.g. uncontrolled anxiety, depression or psychosis</w:t>
            </w:r>
          </w:p>
          <w:p w14:paraId="3ADE0D92" w14:textId="77777777" w:rsidR="00FE2297" w:rsidRPr="008157BF" w:rsidRDefault="00FE2297" w:rsidP="00FE2297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</w:pPr>
            <w:r w:rsidRPr="008157BF"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GB"/>
              </w:rPr>
              <w:t>Unsupportive home environment, previous failed home withdrawal attempt</w:t>
            </w:r>
          </w:p>
          <w:p w14:paraId="161A6D72" w14:textId="73BB7779" w:rsidR="00FE2297" w:rsidRDefault="00FE2297" w:rsidP="00FE2297">
            <w:pPr>
              <w:spacing w:before="120" w:after="120"/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US"/>
              </w:rPr>
            </w:pPr>
            <w:r w:rsidRPr="00FE2297">
              <w:rPr>
                <w:rFonts w:asciiTheme="majorHAnsi" w:eastAsia="Calibri" w:hAnsiTheme="majorHAnsi"/>
                <w:b/>
                <w:noProof w:val="0"/>
                <w:color w:val="000000"/>
                <w:sz w:val="24"/>
                <w:szCs w:val="24"/>
                <w:lang w:val="en-GB" w:eastAsia="en-US"/>
              </w:rPr>
              <w:t>Note</w:t>
            </w:r>
            <w:r>
              <w:rPr>
                <w:rFonts w:asciiTheme="majorHAnsi" w:eastAsia="Calibri" w:hAnsiTheme="majorHAnsi"/>
                <w:noProof w:val="0"/>
                <w:color w:val="000000"/>
                <w:sz w:val="24"/>
                <w:szCs w:val="24"/>
                <w:lang w:val="en-GB" w:eastAsia="en-US"/>
              </w:rPr>
              <w:t>: If use of diazepam for alcohol withdrawal is assessed as high risk, and/or if there are significant co-occurring medical complications, continued use of alcohol together with an urgent referral to Next Step may be appropriate.</w:t>
            </w:r>
          </w:p>
        </w:tc>
      </w:tr>
    </w:tbl>
    <w:p w14:paraId="767179F5" w14:textId="77777777" w:rsidR="00FE2297" w:rsidRPr="008157BF" w:rsidRDefault="00FE2297" w:rsidP="00241478">
      <w:pPr>
        <w:spacing w:before="120" w:after="120"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</w:pPr>
    </w:p>
    <w:p w14:paraId="267DD95A" w14:textId="77777777" w:rsidR="008157BF" w:rsidRPr="008157BF" w:rsidRDefault="008157BF" w:rsidP="00241478">
      <w:pPr>
        <w:spacing w:before="120" w:after="120"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</w:pPr>
      <w:r w:rsidRPr="008157B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 xml:space="preserve">Initiate </w:t>
      </w:r>
      <w:proofErr w:type="spellStart"/>
      <w:r w:rsidRPr="008157B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>anticraving</w:t>
      </w:r>
      <w:proofErr w:type="spellEnd"/>
      <w:r w:rsidRPr="008157B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 xml:space="preserve"> therapy:</w:t>
      </w:r>
      <w:r w:rsidRPr="008157BF">
        <w:rPr>
          <w:rFonts w:asciiTheme="majorHAnsi" w:eastAsia="Calibri" w:hAnsiTheme="majorHAnsi"/>
          <w:noProof w:val="0"/>
          <w:color w:val="0070C0"/>
          <w:sz w:val="24"/>
          <w:szCs w:val="24"/>
          <w:lang w:val="en-GB" w:eastAsia="en-US"/>
        </w:rPr>
        <w:t xml:space="preserve"> </w:t>
      </w: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  <w:t>aim for</w:t>
      </w:r>
      <w:r w:rsidRPr="008157BF">
        <w:rPr>
          <w:rFonts w:asciiTheme="majorHAnsi" w:eastAsia="Calibri" w:hAnsiTheme="majorHAnsi"/>
          <w:noProof w:val="0"/>
          <w:color w:val="0070C0"/>
          <w:sz w:val="24"/>
          <w:szCs w:val="24"/>
          <w:lang w:val="en-GB" w:eastAsia="en-US"/>
        </w:rPr>
        <w:t xml:space="preserve"> </w:t>
      </w: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  <w:t>minimum 4 to 6 months duration</w:t>
      </w:r>
    </w:p>
    <w:p w14:paraId="45081535" w14:textId="77777777" w:rsidR="008157BF" w:rsidRPr="008157BF" w:rsidRDefault="008157BF" w:rsidP="00F577FB">
      <w:pPr>
        <w:numPr>
          <w:ilvl w:val="0"/>
          <w:numId w:val="5"/>
        </w:numPr>
        <w:contextualSpacing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</w:pP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Naltrexone: ½ tablet 4 days, then 1 tablet (50mg) daily, </w:t>
      </w:r>
    </w:p>
    <w:p w14:paraId="62225EFB" w14:textId="77777777" w:rsidR="008157BF" w:rsidRPr="008157BF" w:rsidRDefault="008157BF" w:rsidP="00F577FB">
      <w:pPr>
        <w:numPr>
          <w:ilvl w:val="0"/>
          <w:numId w:val="5"/>
        </w:numPr>
        <w:contextualSpacing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</w:pP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Acamprosate: 2 tablets </w:t>
      </w:r>
      <w:proofErr w:type="spellStart"/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>tds</w:t>
      </w:r>
      <w:proofErr w:type="spellEnd"/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. </w:t>
      </w:r>
    </w:p>
    <w:p w14:paraId="5BA29D05" w14:textId="77777777" w:rsidR="008157BF" w:rsidRPr="008157BF" w:rsidRDefault="008157BF" w:rsidP="00F577FB">
      <w:pPr>
        <w:numPr>
          <w:ilvl w:val="0"/>
          <w:numId w:val="5"/>
        </w:numPr>
        <w:contextualSpacing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</w:pP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>Disulfiram: 200mg daily, must be alcohol free minimum 5 days, is expensive, potentially higher risk if co-</w:t>
      </w:r>
      <w:proofErr w:type="spellStart"/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>exisitng</w:t>
      </w:r>
      <w:proofErr w:type="spellEnd"/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 medical conditions present.</w:t>
      </w:r>
    </w:p>
    <w:p w14:paraId="086EC0DB" w14:textId="77777777" w:rsidR="008157BF" w:rsidRPr="008157BF" w:rsidRDefault="008157BF" w:rsidP="00F577FB">
      <w:pPr>
        <w:numPr>
          <w:ilvl w:val="0"/>
          <w:numId w:val="5"/>
        </w:numPr>
        <w:contextualSpacing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</w:pP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>Monitor LFT to ensure no evidence of deterioration in liver health</w:t>
      </w:r>
    </w:p>
    <w:p w14:paraId="1BE94496" w14:textId="29908D24" w:rsidR="008157BF" w:rsidRPr="008157BF" w:rsidRDefault="008157BF" w:rsidP="00F577FB">
      <w:pPr>
        <w:numPr>
          <w:ilvl w:val="0"/>
          <w:numId w:val="5"/>
        </w:numPr>
        <w:contextualSpacing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</w:pP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Response is likely to be enhanced when patient also engages in counselling therapy </w:t>
      </w:r>
    </w:p>
    <w:p w14:paraId="5EF8FCB7" w14:textId="77777777" w:rsidR="008157BF" w:rsidRPr="008157BF" w:rsidRDefault="008157BF" w:rsidP="008157BF">
      <w:pPr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US"/>
        </w:rPr>
      </w:pPr>
    </w:p>
    <w:p w14:paraId="5285C094" w14:textId="77777777" w:rsidR="000C76CF" w:rsidRDefault="008157BF" w:rsidP="008157BF">
      <w:pPr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</w:pPr>
      <w:r w:rsidRPr="008157B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 xml:space="preserve"> </w:t>
      </w:r>
    </w:p>
    <w:p w14:paraId="1103EA99" w14:textId="7039DC0F" w:rsidR="008157BF" w:rsidRPr="008157BF" w:rsidRDefault="008157BF" w:rsidP="008157BF">
      <w:pPr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</w:pPr>
      <w:r w:rsidRPr="008157B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>Further action:</w:t>
      </w:r>
    </w:p>
    <w:p w14:paraId="4D980E96" w14:textId="77777777" w:rsidR="008157BF" w:rsidRPr="008157BF" w:rsidRDefault="008157BF" w:rsidP="00F577FB">
      <w:pPr>
        <w:numPr>
          <w:ilvl w:val="0"/>
          <w:numId w:val="6"/>
        </w:numPr>
        <w:contextualSpacing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</w:pP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>Wherever possible, increase engagement with carers in the management of amber tree withdrawal.</w:t>
      </w:r>
    </w:p>
    <w:p w14:paraId="5D746E3A" w14:textId="77777777" w:rsidR="008157BF" w:rsidRPr="008157BF" w:rsidRDefault="008157BF" w:rsidP="00F577FB">
      <w:pPr>
        <w:numPr>
          <w:ilvl w:val="0"/>
          <w:numId w:val="6"/>
        </w:numPr>
        <w:contextualSpacing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</w:pP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Provide the consumer and client with written information regarding withdrawal management, in lieu of regular clinic attendance. </w:t>
      </w:r>
    </w:p>
    <w:p w14:paraId="5E4BBB8F" w14:textId="6B9F2F92" w:rsidR="008157BF" w:rsidRPr="008157BF" w:rsidRDefault="008157BF" w:rsidP="00F577FB">
      <w:pPr>
        <w:numPr>
          <w:ilvl w:val="0"/>
          <w:numId w:val="6"/>
        </w:numPr>
        <w:contextualSpacing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</w:pP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Consider referral to the local </w:t>
      </w:r>
      <w:r w:rsidRPr="008157BF">
        <w:rPr>
          <w:rFonts w:asciiTheme="majorHAnsi" w:eastAsia="Calibri" w:hAnsiTheme="majorHAnsi"/>
          <w:b/>
          <w:noProof w:val="0"/>
          <w:color w:val="000000"/>
          <w:sz w:val="24"/>
          <w:szCs w:val="24"/>
          <w:lang w:val="en-GB" w:eastAsia="en-GB"/>
        </w:rPr>
        <w:t>Community Alcohol and Drug Service</w:t>
      </w:r>
      <w:r w:rsidR="00FE2297">
        <w:rPr>
          <w:rFonts w:asciiTheme="majorHAnsi" w:eastAsia="Calibri" w:hAnsiTheme="majorHAnsi"/>
          <w:b/>
          <w:noProof w:val="0"/>
          <w:color w:val="000000"/>
          <w:sz w:val="24"/>
          <w:szCs w:val="24"/>
          <w:lang w:val="en-GB" w:eastAsia="en-GB"/>
        </w:rPr>
        <w:t xml:space="preserve"> </w:t>
      </w:r>
      <w:r w:rsidR="00FE2297" w:rsidRPr="00FE2297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>(web link below)</w:t>
      </w:r>
    </w:p>
    <w:p w14:paraId="1A673DD6" w14:textId="7BB9D04E" w:rsidR="008157BF" w:rsidRPr="008157BF" w:rsidRDefault="008157BF" w:rsidP="00F577FB">
      <w:pPr>
        <w:numPr>
          <w:ilvl w:val="0"/>
          <w:numId w:val="6"/>
        </w:numPr>
        <w:contextualSpacing/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</w:pP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Consider involving the </w:t>
      </w:r>
      <w:r w:rsidRPr="000C76CF">
        <w:rPr>
          <w:rFonts w:asciiTheme="majorHAnsi" w:eastAsia="Calibri" w:hAnsiTheme="majorHAnsi"/>
          <w:b/>
          <w:noProof w:val="0"/>
          <w:color w:val="000000"/>
          <w:sz w:val="24"/>
          <w:szCs w:val="24"/>
          <w:lang w:val="en-GB" w:eastAsia="en-GB"/>
        </w:rPr>
        <w:t>Drug and Alcohol Withdrawal Network</w:t>
      </w:r>
      <w:r w:rsidR="005D55F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 - </w:t>
      </w:r>
      <w:r w:rsidR="005D55FF" w:rsidRPr="000C76CF">
        <w:rPr>
          <w:rFonts w:asciiTheme="majorHAnsi" w:eastAsia="Calibri" w:hAnsiTheme="majorHAnsi"/>
          <w:noProof w:val="0"/>
          <w:sz w:val="24"/>
          <w:szCs w:val="24"/>
          <w:lang w:val="en-GB" w:eastAsia="en-GB"/>
        </w:rPr>
        <w:t>DAWN</w:t>
      </w:r>
      <w:r w:rsidRPr="000C76CF">
        <w:rPr>
          <w:rFonts w:asciiTheme="majorHAnsi" w:eastAsia="Calibri" w:hAnsiTheme="majorHAnsi"/>
          <w:noProof w:val="0"/>
          <w:sz w:val="24"/>
          <w:szCs w:val="24"/>
          <w:lang w:val="en-GB" w:eastAsia="en-GB"/>
        </w:rPr>
        <w:t xml:space="preserve"> </w:t>
      </w:r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>(</w:t>
      </w:r>
      <w:proofErr w:type="spellStart"/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>tel</w:t>
      </w:r>
      <w:proofErr w:type="spellEnd"/>
      <w:r w:rsidRPr="008157BF">
        <w:rPr>
          <w:rFonts w:asciiTheme="majorHAnsi" w:eastAsia="Calibri" w:hAnsiTheme="majorHAnsi"/>
          <w:noProof w:val="0"/>
          <w:color w:val="000000"/>
          <w:sz w:val="24"/>
          <w:szCs w:val="24"/>
          <w:lang w:val="en-GB" w:eastAsia="en-GB"/>
        </w:rPr>
        <w:t xml:space="preserve"> 9382 6049, metro only)</w:t>
      </w:r>
    </w:p>
    <w:p w14:paraId="0326C274" w14:textId="77777777" w:rsidR="001D6A86" w:rsidRDefault="001D6A86" w:rsidP="00641C97">
      <w:pPr>
        <w:spacing w:after="120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54F0E75A" w14:textId="77777777" w:rsidR="00FE2297" w:rsidRDefault="00FE2297" w:rsidP="00641C97">
      <w:pPr>
        <w:spacing w:after="120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38E85684" w14:textId="77777777" w:rsidR="00FE2297" w:rsidRDefault="00FE2297" w:rsidP="00641C97">
      <w:pPr>
        <w:spacing w:after="120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444BD23B" w14:textId="77777777" w:rsidR="00FE2297" w:rsidRPr="008157BF" w:rsidRDefault="00FE2297" w:rsidP="00641C97">
      <w:pPr>
        <w:spacing w:after="120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738B107E" w14:textId="77777777" w:rsidR="006E5424" w:rsidRDefault="006E5424" w:rsidP="008157BF">
      <w:pPr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</w:pPr>
    </w:p>
    <w:p w14:paraId="3904AC22" w14:textId="77777777" w:rsidR="006E5424" w:rsidRDefault="006E5424" w:rsidP="008157BF">
      <w:pPr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</w:pPr>
    </w:p>
    <w:p w14:paraId="449EC2CB" w14:textId="646BAACA" w:rsidR="001D2C8B" w:rsidRDefault="00F577FB" w:rsidP="008157BF">
      <w:pPr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</w:pPr>
      <w:r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>Resources</w:t>
      </w:r>
      <w:r w:rsidR="008157B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>:</w:t>
      </w:r>
      <w:r w:rsidR="001D2C8B" w:rsidRPr="008157B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 xml:space="preserve"> </w:t>
      </w:r>
    </w:p>
    <w:p w14:paraId="76BC1F23" w14:textId="77777777" w:rsidR="000C76CF" w:rsidRDefault="000C76CF" w:rsidP="00F577FB">
      <w:pP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</w:p>
    <w:p w14:paraId="67612DCC" w14:textId="0A2167A2" w:rsidR="00740963" w:rsidRDefault="00740963" w:rsidP="00F577FB">
      <w:pP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bookmarkStart w:id="0" w:name="_GoBack"/>
      <w:bookmarkEnd w:id="0"/>
      <w:r w:rsidRPr="00740963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A brief guide to the Assessment and Treatment of Alcohol Dependence</w:t>
      </w:r>
      <w:r w:rsidRPr="00072A94">
        <w:rPr>
          <w:rFonts w:ascii="Times New Roman" w:hAnsi="Times New Roman"/>
        </w:rPr>
        <w:t xml:space="preserve"> </w:t>
      </w:r>
      <w:hyperlink r:id="rId9" w:history="1">
        <w:r w:rsidRPr="00740963">
          <w:rPr>
            <w:rStyle w:val="Hyperlink"/>
            <w:rFonts w:asciiTheme="majorHAnsi" w:hAnsiTheme="majorHAnsi"/>
            <w:sz w:val="24"/>
          </w:rPr>
          <w:t>https://www.mhc.wa.gov.au/media/1171/dependence-brochure-2014v8web.pdf</w:t>
        </w:r>
      </w:hyperlink>
    </w:p>
    <w:p w14:paraId="1626DAD5" w14:textId="77777777" w:rsidR="00740963" w:rsidRDefault="00740963" w:rsidP="00F577FB">
      <w:pP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</w:p>
    <w:p w14:paraId="1107C6AD" w14:textId="77777777" w:rsidR="00F577FB" w:rsidRPr="00F577FB" w:rsidRDefault="00F577FB" w:rsidP="00F577FB">
      <w:pP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 w:rsidRPr="00F577FB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Community Alcohol and Drug Services</w:t>
      </w:r>
    </w:p>
    <w:p w14:paraId="725D8F98" w14:textId="6482DCD1" w:rsidR="00F577FB" w:rsidRPr="00F577FB" w:rsidRDefault="000C76CF" w:rsidP="00F577FB">
      <w:pP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hyperlink r:id="rId10" w:history="1">
        <w:r w:rsidR="00F577FB" w:rsidRPr="003501AE">
          <w:rPr>
            <w:rStyle w:val="Hyperlink"/>
            <w:rFonts w:asciiTheme="majorHAnsi" w:eastAsia="Calibri" w:hAnsiTheme="majorHAnsi"/>
            <w:noProof w:val="0"/>
            <w:sz w:val="24"/>
            <w:szCs w:val="24"/>
            <w:lang w:val="en-GB" w:eastAsia="en-US"/>
          </w:rPr>
          <w:t>https://www.mhc.wa.gov.au/getting-help/community-alcohol-and-drug-services/</w:t>
        </w:r>
      </w:hyperlink>
      <w:r w:rsidR="00F577FB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 </w:t>
      </w:r>
    </w:p>
    <w:p w14:paraId="23252782" w14:textId="6A8A1B47" w:rsidR="006E5424" w:rsidRDefault="006E5424" w:rsidP="005D55FF">
      <w:pPr>
        <w:spacing w:before="360"/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 w:rsidRPr="006E5424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Drug and Alcohol Withdrawal Network </w:t>
      </w:r>
      <w: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(</w:t>
      </w:r>
      <w:r w:rsidRPr="000C76CF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>DAWN</w:t>
      </w:r>
      <w: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) – </w:t>
      </w:r>
      <w:proofErr w:type="spellStart"/>
      <w:r w:rsidRPr="006E5424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tel</w:t>
      </w:r>
      <w:proofErr w:type="spellEnd"/>
      <w: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: 9382 6049, metro only</w:t>
      </w:r>
      <w:r w:rsidR="000C76CF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 </w:t>
      </w:r>
      <w:hyperlink r:id="rId11" w:history="1">
        <w:r w:rsidR="000C76CF" w:rsidRPr="00E40C3B">
          <w:rPr>
            <w:rStyle w:val="Hyperlink"/>
            <w:rFonts w:asciiTheme="majorHAnsi" w:eastAsia="Calibri" w:hAnsiTheme="majorHAnsi"/>
            <w:noProof w:val="0"/>
            <w:sz w:val="24"/>
            <w:szCs w:val="24"/>
            <w:lang w:val="en-GB" w:eastAsia="en-US"/>
          </w:rPr>
          <w:t>https://www.sjog.org.au/our-services/community-and-youth-services/dawn</w:t>
        </w:r>
      </w:hyperlink>
      <w:r w:rsidR="000C76CF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 </w:t>
      </w:r>
    </w:p>
    <w:p w14:paraId="54F69B42" w14:textId="0FF113DF" w:rsidR="00F577FB" w:rsidRPr="00F577FB" w:rsidRDefault="00F577FB" w:rsidP="005D55FF">
      <w:pPr>
        <w:spacing w:before="360"/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Drug and Alcohol </w:t>
      </w:r>
      <w:r w:rsidRPr="00F577FB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Clinical Advisory Service (</w:t>
      </w:r>
      <w:r w:rsidRPr="006E5424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>DACAS</w:t>
      </w:r>
      <w:r w:rsidR="006E5424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) – </w:t>
      </w:r>
      <w:proofErr w:type="spellStart"/>
      <w:r w:rsidR="006E5424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tel</w:t>
      </w:r>
      <w:proofErr w:type="spellEnd"/>
      <w:r w:rsidR="006E5424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: </w:t>
      </w:r>
      <w:r w:rsidR="000C76CF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6553 0520</w:t>
      </w:r>
    </w:p>
    <w:p w14:paraId="13AF0E8B" w14:textId="72613F6F" w:rsidR="00F577FB" w:rsidRPr="00F577FB" w:rsidRDefault="00F577FB" w:rsidP="00F577FB">
      <w:pPr>
        <w:pStyle w:val="ListParagraph"/>
        <w:numPr>
          <w:ilvl w:val="0"/>
          <w:numId w:val="2"/>
        </w:numPr>
        <w:rPr>
          <w:rFonts w:asciiTheme="majorHAnsi" w:eastAsia="Calibri" w:hAnsiTheme="majorHAnsi"/>
          <w:szCs w:val="24"/>
          <w:lang w:val="en-GB"/>
        </w:rPr>
      </w:pPr>
      <w:r w:rsidRPr="00F577FB">
        <w:rPr>
          <w:rFonts w:asciiTheme="majorHAnsi" w:eastAsia="Calibri" w:hAnsiTheme="majorHAnsi"/>
          <w:szCs w:val="24"/>
          <w:lang w:val="en-GB"/>
        </w:rPr>
        <w:t>Access to a</w:t>
      </w:r>
      <w:r w:rsidR="000C76CF">
        <w:rPr>
          <w:rFonts w:asciiTheme="majorHAnsi" w:eastAsia="Calibri" w:hAnsiTheme="majorHAnsi"/>
          <w:szCs w:val="24"/>
          <w:lang w:val="en-GB"/>
        </w:rPr>
        <w:t>n Addiction Medicine Consultant for c</w:t>
      </w:r>
      <w:r w:rsidRPr="00F577FB">
        <w:rPr>
          <w:rFonts w:asciiTheme="majorHAnsi" w:eastAsia="Calibri" w:hAnsiTheme="majorHAnsi"/>
          <w:szCs w:val="24"/>
          <w:lang w:val="en-GB"/>
        </w:rPr>
        <w:t xml:space="preserve">linical advice </w:t>
      </w:r>
    </w:p>
    <w:p w14:paraId="3DCD9CA0" w14:textId="7463FF8F" w:rsidR="00F577FB" w:rsidRPr="00F577FB" w:rsidRDefault="00F577FB" w:rsidP="005D55FF">
      <w:pPr>
        <w:spacing w:before="360"/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Alcohol </w:t>
      </w:r>
      <w:r w:rsidR="006E5424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and Drug </w:t>
      </w:r>
      <w:r w:rsidR="005D55FF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Support Service</w:t>
      </w:r>
      <w:r w:rsidR="006E5424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 (</w:t>
      </w:r>
      <w:r w:rsidR="006E5424" w:rsidRPr="006E5424">
        <w:rPr>
          <w:rFonts w:asciiTheme="majorHAnsi" w:eastAsia="Calibri" w:hAnsiTheme="majorHAnsi"/>
          <w:b/>
          <w:noProof w:val="0"/>
          <w:color w:val="C00000"/>
          <w:sz w:val="24"/>
          <w:szCs w:val="24"/>
          <w:lang w:val="en-GB" w:eastAsia="en-US"/>
        </w:rPr>
        <w:t>ADSS</w:t>
      </w:r>
      <w:r w:rsidR="006E5424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)</w:t>
      </w:r>
      <w:r w:rsidR="005D55FF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:</w:t>
      </w:r>
      <w: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 9442 500</w:t>
      </w:r>
      <w:r w:rsidRPr="00F577FB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0</w:t>
      </w:r>
      <w:r w:rsidR="005D55FF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 – After-</w:t>
      </w:r>
      <w: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hours support for patients</w:t>
      </w:r>
    </w:p>
    <w:p w14:paraId="15C75C36" w14:textId="54620C98" w:rsidR="00F577FB" w:rsidRPr="00F577FB" w:rsidRDefault="00F577FB" w:rsidP="005D55FF">
      <w:pPr>
        <w:spacing w:before="360"/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r w:rsidRPr="00F577FB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>Alcohol and Your Health: Australian Alcohol Guidelines</w:t>
      </w:r>
    </w:p>
    <w:p w14:paraId="214EEEC7" w14:textId="687BD501" w:rsidR="00F577FB" w:rsidRPr="00F577FB" w:rsidRDefault="000C76CF" w:rsidP="00F577FB">
      <w:pPr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</w:pPr>
      <w:hyperlink r:id="rId12" w:history="1">
        <w:r w:rsidR="00F577FB" w:rsidRPr="00F577FB">
          <w:rPr>
            <w:rStyle w:val="Hyperlink"/>
            <w:rFonts w:asciiTheme="majorHAnsi" w:eastAsia="Calibri" w:hAnsiTheme="majorHAnsi"/>
            <w:noProof w:val="0"/>
            <w:sz w:val="24"/>
            <w:szCs w:val="24"/>
            <w:lang w:val="en-GB" w:eastAsia="en-US"/>
          </w:rPr>
          <w:t>https://alcoholthinkagain.com.au/Alcohol-Your-Health/Online-tools/Australian-Alcohol-Guidelines</w:t>
        </w:r>
      </w:hyperlink>
      <w:r w:rsidR="00F577FB" w:rsidRPr="00F577FB">
        <w:rPr>
          <w:rFonts w:asciiTheme="majorHAnsi" w:eastAsia="Calibri" w:hAnsiTheme="majorHAnsi"/>
          <w:noProof w:val="0"/>
          <w:sz w:val="24"/>
          <w:szCs w:val="24"/>
          <w:lang w:val="en-GB" w:eastAsia="en-US"/>
        </w:rPr>
        <w:t xml:space="preserve">  </w:t>
      </w:r>
    </w:p>
    <w:p w14:paraId="71EF19FF" w14:textId="77777777" w:rsidR="008157BF" w:rsidRDefault="008157BF" w:rsidP="00F577FB">
      <w:pPr>
        <w:spacing w:after="120"/>
        <w:rPr>
          <w:rFonts w:asciiTheme="majorHAnsi" w:hAnsiTheme="majorHAnsi"/>
          <w:sz w:val="24"/>
          <w:szCs w:val="24"/>
        </w:rPr>
      </w:pPr>
    </w:p>
    <w:p w14:paraId="17CB6EE7" w14:textId="77777777" w:rsidR="000C76CF" w:rsidRDefault="000C76CF" w:rsidP="00F577FB">
      <w:pPr>
        <w:spacing w:after="120"/>
        <w:rPr>
          <w:rFonts w:asciiTheme="majorHAnsi" w:hAnsiTheme="majorHAnsi"/>
          <w:sz w:val="24"/>
          <w:szCs w:val="24"/>
        </w:rPr>
      </w:pPr>
    </w:p>
    <w:p w14:paraId="726A44D8" w14:textId="77777777" w:rsidR="000C76CF" w:rsidRDefault="000C76CF" w:rsidP="00F577FB">
      <w:pPr>
        <w:spacing w:after="120"/>
        <w:rPr>
          <w:rFonts w:asciiTheme="majorHAnsi" w:hAnsiTheme="majorHAnsi"/>
          <w:sz w:val="24"/>
          <w:szCs w:val="24"/>
        </w:rPr>
      </w:pPr>
    </w:p>
    <w:p w14:paraId="71E003C2" w14:textId="77777777" w:rsidR="000C76CF" w:rsidRDefault="000C76CF" w:rsidP="00F577FB">
      <w:pPr>
        <w:spacing w:after="120"/>
        <w:rPr>
          <w:rFonts w:asciiTheme="majorHAnsi" w:hAnsiTheme="majorHAnsi"/>
          <w:sz w:val="24"/>
          <w:szCs w:val="24"/>
        </w:rPr>
      </w:pPr>
    </w:p>
    <w:p w14:paraId="39FD1BE5" w14:textId="0198807C" w:rsidR="000C76CF" w:rsidRPr="008157BF" w:rsidRDefault="000C76CF" w:rsidP="000C76CF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</w:t>
      </w:r>
    </w:p>
    <w:sectPr w:rsidR="000C76CF" w:rsidRPr="008157BF" w:rsidSect="00A00A21">
      <w:headerReference w:type="default" r:id="rId13"/>
      <w:footerReference w:type="default" r:id="rId14"/>
      <w:pgSz w:w="11909" w:h="16834"/>
      <w:pgMar w:top="1701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E6CA0" w14:textId="77777777" w:rsidR="001B6EC5" w:rsidRDefault="001B6EC5">
      <w:r>
        <w:separator/>
      </w:r>
    </w:p>
  </w:endnote>
  <w:endnote w:type="continuationSeparator" w:id="0">
    <w:p w14:paraId="53D382A4" w14:textId="77777777" w:rsidR="001B6EC5" w:rsidRDefault="001B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9F200" w14:textId="70ED6980" w:rsidR="001B6EC5" w:rsidRPr="00E467DC" w:rsidRDefault="00E467DC" w:rsidP="00E467DC">
    <w:pPr>
      <w:pStyle w:val="Footer"/>
      <w:rPr>
        <w:sz w:val="14"/>
      </w:rPr>
    </w:pPr>
    <w:r w:rsidRPr="00E467DC">
      <w:rPr>
        <w:color w:val="C00000"/>
        <w:sz w:val="18"/>
      </w:rPr>
      <w:t>Next Step Drug and Alcohol Services, Drug and Alcohol Clinical Advisory Service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DE9D5" w14:textId="77777777" w:rsidR="001B6EC5" w:rsidRDefault="001B6EC5">
      <w:r>
        <w:separator/>
      </w:r>
    </w:p>
  </w:footnote>
  <w:footnote w:type="continuationSeparator" w:id="0">
    <w:p w14:paraId="4034CDBE" w14:textId="77777777" w:rsidR="001B6EC5" w:rsidRDefault="001B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7655"/>
    </w:tblGrid>
    <w:tr w:rsidR="001B6EC5" w14:paraId="0318F265" w14:textId="77777777" w:rsidTr="00A00A21">
      <w:trPr>
        <w:cantSplit/>
        <w:trHeight w:val="1730"/>
        <w:tblHeader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7CDD1ACE" w14:textId="209B8253" w:rsidR="001B6EC5" w:rsidRPr="00E567DF" w:rsidRDefault="000C76CF" w:rsidP="001457F0">
          <w:pPr>
            <w:pStyle w:val="Header"/>
            <w:spacing w:before="120" w:after="120"/>
            <w:jc w:val="center"/>
            <w:rPr>
              <w:b/>
              <w:color w:val="0070C0"/>
              <w:sz w:val="28"/>
            </w:rPr>
          </w:pPr>
          <w:sdt>
            <w:sdtPr>
              <w:rPr>
                <w:b/>
                <w:color w:val="0070C0"/>
                <w:sz w:val="28"/>
              </w:rPr>
              <w:id w:val="298202521"/>
              <w:docPartObj>
                <w:docPartGallery w:val="Page Numbers (Margins)"/>
                <w:docPartUnique/>
              </w:docPartObj>
            </w:sdtPr>
            <w:sdtEndPr/>
            <w:sdtContent>
              <w:r w:rsidR="00AC6AB7" w:rsidRPr="00AC6AB7">
                <w:rPr>
                  <w:b/>
                  <w:color w:val="0070C0"/>
                  <w:sz w:val="28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4F5FC57E" wp14:editId="28285D9F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35DC53" w14:textId="77777777" w:rsidR="00AC6AB7" w:rsidRDefault="00AC6AB7">
                                    <w:pPr>
                                      <w:pStyle w:val="Footer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Page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noProof w:val="0"/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noProof w:val="0"/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0C76CF" w:rsidRPr="000C76CF"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      <v:textbox style="layout-flow:vertical;mso-layout-flow-alt:bottom-to-top;mso-fit-shape-to-text:t">
                          <w:txbxContent>
                            <w:p w14:paraId="0235DC53" w14:textId="77777777" w:rsidR="00AC6AB7" w:rsidRDefault="00AC6AB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noProof w:val="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noProof w:val="0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76CF" w:rsidRPr="000C76CF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1A3F6E">
            <w:drawing>
              <wp:inline distT="0" distB="0" distL="0" distR="0" wp14:anchorId="53E5A83E" wp14:editId="39C02C3B">
                <wp:extent cx="1300480" cy="1041400"/>
                <wp:effectExtent l="0" t="0" r="0" b="6350"/>
                <wp:docPr id="1" name="Picture 1" descr="NextStep LOGO (text)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xtStep LOGO (text)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left w:val="single" w:sz="4" w:space="0" w:color="auto"/>
          </w:tcBorders>
        </w:tcPr>
        <w:p w14:paraId="227F2772" w14:textId="7ACC598B" w:rsidR="001B6EC5" w:rsidRPr="004B2639" w:rsidRDefault="001E4276" w:rsidP="001E4276">
          <w:pPr>
            <w:spacing w:before="240" w:after="60"/>
            <w:jc w:val="center"/>
            <w:rPr>
              <w:sz w:val="36"/>
              <w:szCs w:val="24"/>
            </w:rPr>
          </w:pPr>
          <w:r w:rsidRPr="001E4276">
            <w:rPr>
              <w:color w:val="C00000"/>
              <w:sz w:val="44"/>
              <w:szCs w:val="24"/>
            </w:rPr>
            <w:t>Management of ambulatory alcohol withdrawal</w:t>
          </w:r>
          <w:r w:rsidR="005B19E2" w:rsidRPr="001E4276">
            <w:rPr>
              <w:color w:val="C00000"/>
              <w:sz w:val="44"/>
              <w:szCs w:val="24"/>
            </w:rPr>
            <w:t xml:space="preserve"> in response to</w:t>
          </w:r>
          <w:r w:rsidRPr="001E4276">
            <w:rPr>
              <w:color w:val="C00000"/>
              <w:sz w:val="44"/>
              <w:szCs w:val="24"/>
            </w:rPr>
            <w:t xml:space="preserve"> </w:t>
          </w:r>
          <w:r w:rsidR="005B19E2" w:rsidRPr="001E4276">
            <w:rPr>
              <w:color w:val="C00000"/>
              <w:sz w:val="44"/>
              <w:szCs w:val="24"/>
            </w:rPr>
            <w:t>COVID-19</w:t>
          </w:r>
        </w:p>
      </w:tc>
    </w:tr>
  </w:tbl>
  <w:p w14:paraId="6F17C615" w14:textId="77777777" w:rsidR="001B6EC5" w:rsidRDefault="001B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087"/>
    <w:multiLevelType w:val="hybridMultilevel"/>
    <w:tmpl w:val="699E5492"/>
    <w:lvl w:ilvl="0" w:tplc="06B0CC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3FB4"/>
    <w:multiLevelType w:val="hybridMultilevel"/>
    <w:tmpl w:val="23D6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320E"/>
    <w:multiLevelType w:val="hybridMultilevel"/>
    <w:tmpl w:val="DB54B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413F"/>
    <w:multiLevelType w:val="hybridMultilevel"/>
    <w:tmpl w:val="99DAD06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362AD"/>
    <w:multiLevelType w:val="hybridMultilevel"/>
    <w:tmpl w:val="9E604E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2FEF"/>
    <w:multiLevelType w:val="hybridMultilevel"/>
    <w:tmpl w:val="2DF6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84DF7"/>
    <w:multiLevelType w:val="hybridMultilevel"/>
    <w:tmpl w:val="7D30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478F8"/>
    <w:multiLevelType w:val="hybridMultilevel"/>
    <w:tmpl w:val="2A186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32217"/>
    <w:multiLevelType w:val="hybridMultilevel"/>
    <w:tmpl w:val="2AD6D67C"/>
    <w:lvl w:ilvl="0" w:tplc="E098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46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2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0A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6A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4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1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CD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83FE9A-CDD2-4557-9C72-A50B0E6F7214}"/>
    <w:docVar w:name="dgnword-eventsink" w:val="475981728"/>
  </w:docVars>
  <w:rsids>
    <w:rsidRoot w:val="00A30683"/>
    <w:rsid w:val="00033F88"/>
    <w:rsid w:val="00093D76"/>
    <w:rsid w:val="000C76CF"/>
    <w:rsid w:val="000D205B"/>
    <w:rsid w:val="000E4407"/>
    <w:rsid w:val="001457F0"/>
    <w:rsid w:val="00146800"/>
    <w:rsid w:val="00190E9D"/>
    <w:rsid w:val="001A3F6E"/>
    <w:rsid w:val="001B6EC5"/>
    <w:rsid w:val="001B782C"/>
    <w:rsid w:val="001D2C8B"/>
    <w:rsid w:val="001D6A86"/>
    <w:rsid w:val="001E4276"/>
    <w:rsid w:val="002144EF"/>
    <w:rsid w:val="00221F1B"/>
    <w:rsid w:val="00241478"/>
    <w:rsid w:val="00255BC0"/>
    <w:rsid w:val="0026690C"/>
    <w:rsid w:val="002A0A18"/>
    <w:rsid w:val="0034076D"/>
    <w:rsid w:val="00392301"/>
    <w:rsid w:val="003B376B"/>
    <w:rsid w:val="00443ACA"/>
    <w:rsid w:val="004B2639"/>
    <w:rsid w:val="00505018"/>
    <w:rsid w:val="0051451F"/>
    <w:rsid w:val="00531FE0"/>
    <w:rsid w:val="00546750"/>
    <w:rsid w:val="00547DCF"/>
    <w:rsid w:val="005B19E2"/>
    <w:rsid w:val="005D55FF"/>
    <w:rsid w:val="00641C97"/>
    <w:rsid w:val="00654A98"/>
    <w:rsid w:val="00690D5F"/>
    <w:rsid w:val="006E5424"/>
    <w:rsid w:val="00714137"/>
    <w:rsid w:val="00740963"/>
    <w:rsid w:val="00750DEC"/>
    <w:rsid w:val="00793D51"/>
    <w:rsid w:val="007A02E6"/>
    <w:rsid w:val="008157BF"/>
    <w:rsid w:val="00856D64"/>
    <w:rsid w:val="00885300"/>
    <w:rsid w:val="008F442A"/>
    <w:rsid w:val="009F35B3"/>
    <w:rsid w:val="00A00A21"/>
    <w:rsid w:val="00A00C9B"/>
    <w:rsid w:val="00A30683"/>
    <w:rsid w:val="00AA3D87"/>
    <w:rsid w:val="00AC618C"/>
    <w:rsid w:val="00AC6AB7"/>
    <w:rsid w:val="00B20E43"/>
    <w:rsid w:val="00B341C9"/>
    <w:rsid w:val="00B81CF8"/>
    <w:rsid w:val="00B87340"/>
    <w:rsid w:val="00B91895"/>
    <w:rsid w:val="00BA63CE"/>
    <w:rsid w:val="00BB7B5C"/>
    <w:rsid w:val="00BD1464"/>
    <w:rsid w:val="00BE6E62"/>
    <w:rsid w:val="00BF1D37"/>
    <w:rsid w:val="00C32375"/>
    <w:rsid w:val="00CF2454"/>
    <w:rsid w:val="00D30131"/>
    <w:rsid w:val="00D4542D"/>
    <w:rsid w:val="00DE542D"/>
    <w:rsid w:val="00E41DE1"/>
    <w:rsid w:val="00E467DC"/>
    <w:rsid w:val="00E5320A"/>
    <w:rsid w:val="00E567DF"/>
    <w:rsid w:val="00E72992"/>
    <w:rsid w:val="00E7539B"/>
    <w:rsid w:val="00ED737C"/>
    <w:rsid w:val="00F577FB"/>
    <w:rsid w:val="00F5782D"/>
    <w:rsid w:val="00FB1E2F"/>
    <w:rsid w:val="00FB2B73"/>
    <w:rsid w:val="00FB4243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D3A5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AU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pPr>
      <w:tabs>
        <w:tab w:val="left" w:pos="20"/>
        <w:tab w:val="right" w:pos="9072"/>
      </w:tabs>
    </w:pPr>
    <w:rPr>
      <w:sz w:val="26"/>
    </w:rPr>
  </w:style>
  <w:style w:type="paragraph" w:styleId="BodyText2">
    <w:name w:val="Body Text 2"/>
    <w:basedOn w:val="Normal"/>
    <w:pPr>
      <w:tabs>
        <w:tab w:val="left" w:pos="20"/>
        <w:tab w:val="right" w:pos="9072"/>
      </w:tabs>
    </w:pPr>
    <w:rPr>
      <w:sz w:val="22"/>
    </w:rPr>
  </w:style>
  <w:style w:type="paragraph" w:styleId="BodyTextIndent2">
    <w:name w:val="Body Text Indent 2"/>
    <w:basedOn w:val="Normal"/>
    <w:pPr>
      <w:tabs>
        <w:tab w:val="left" w:pos="20"/>
        <w:tab w:val="right" w:pos="9072"/>
      </w:tabs>
      <w:ind w:left="20"/>
    </w:pPr>
    <w:rPr>
      <w:sz w:val="24"/>
    </w:rPr>
  </w:style>
  <w:style w:type="paragraph" w:styleId="BodyTextIndent3">
    <w:name w:val="Body Text Indent 3"/>
    <w:basedOn w:val="Normal"/>
    <w:pPr>
      <w:tabs>
        <w:tab w:val="left" w:pos="20"/>
        <w:tab w:val="right" w:pos="9072"/>
      </w:tabs>
      <w:ind w:left="20"/>
    </w:pPr>
    <w:rPr>
      <w:b/>
      <w:sz w:val="22"/>
    </w:rPr>
  </w:style>
  <w:style w:type="paragraph" w:styleId="BodyText3">
    <w:name w:val="Body Text 3"/>
    <w:basedOn w:val="Normal"/>
    <w:pPr>
      <w:tabs>
        <w:tab w:val="left" w:pos="20"/>
        <w:tab w:val="right" w:pos="9072"/>
      </w:tabs>
    </w:pPr>
    <w:rPr>
      <w:b/>
      <w:sz w:val="26"/>
    </w:rPr>
  </w:style>
  <w:style w:type="paragraph" w:styleId="BodyTextIndent">
    <w:name w:val="Body Text Indent"/>
    <w:basedOn w:val="Normal"/>
    <w:pPr>
      <w:tabs>
        <w:tab w:val="left" w:pos="20"/>
        <w:tab w:val="left" w:pos="567"/>
        <w:tab w:val="left" w:pos="2835"/>
        <w:tab w:val="right" w:pos="9072"/>
      </w:tabs>
      <w:ind w:left="567"/>
    </w:pPr>
    <w:rPr>
      <w:sz w:val="2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20"/>
        <w:tab w:val="right" w:pos="9072"/>
      </w:tabs>
      <w:jc w:val="center"/>
    </w:pPr>
    <w:rPr>
      <w:b/>
    </w:rPr>
  </w:style>
  <w:style w:type="paragraph" w:styleId="PlainText">
    <w:name w:val="Plain Text"/>
    <w:basedOn w:val="Normal"/>
    <w:rsid w:val="00714137"/>
    <w:rPr>
      <w:rFonts w:ascii="Courier New" w:hAnsi="Courier New" w:cs="Courier New"/>
      <w:noProof w:val="0"/>
    </w:rPr>
  </w:style>
  <w:style w:type="character" w:customStyle="1" w:styleId="HeaderChar">
    <w:name w:val="Header Char"/>
    <w:link w:val="Header"/>
    <w:rsid w:val="00ED737C"/>
    <w:rPr>
      <w:noProof/>
    </w:rPr>
  </w:style>
  <w:style w:type="paragraph" w:styleId="ListParagraph">
    <w:name w:val="List Paragraph"/>
    <w:basedOn w:val="Normal"/>
    <w:uiPriority w:val="34"/>
    <w:qFormat/>
    <w:rsid w:val="001D2C8B"/>
    <w:pPr>
      <w:ind w:left="720"/>
      <w:contextualSpacing/>
    </w:pPr>
    <w:rPr>
      <w:rFonts w:ascii="Arial" w:hAnsi="Arial"/>
      <w:noProof w:val="0"/>
      <w:sz w:val="24"/>
      <w:lang w:eastAsia="en-US"/>
    </w:rPr>
  </w:style>
  <w:style w:type="character" w:styleId="Hyperlink">
    <w:name w:val="Hyperlink"/>
    <w:basedOn w:val="DefaultParagraphFont"/>
    <w:rsid w:val="00E532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32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A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F6E"/>
    <w:rPr>
      <w:rFonts w:ascii="Tahoma" w:hAnsi="Tahoma" w:cs="Tahoma"/>
      <w:noProof/>
      <w:sz w:val="16"/>
      <w:szCs w:val="16"/>
      <w:lang w:eastAsia="en-AU"/>
    </w:rPr>
  </w:style>
  <w:style w:type="table" w:styleId="TableGrid">
    <w:name w:val="Table Grid"/>
    <w:basedOn w:val="TableNormal"/>
    <w:rsid w:val="00641C97"/>
    <w:rPr>
      <w:rFonts w:ascii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D6A86"/>
    <w:rPr>
      <w:rFonts w:ascii="Calibri" w:eastAsia="Calibri" w:hAnsi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C6AB7"/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AU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pPr>
      <w:tabs>
        <w:tab w:val="left" w:pos="20"/>
        <w:tab w:val="right" w:pos="9072"/>
      </w:tabs>
    </w:pPr>
    <w:rPr>
      <w:sz w:val="26"/>
    </w:rPr>
  </w:style>
  <w:style w:type="paragraph" w:styleId="BodyText2">
    <w:name w:val="Body Text 2"/>
    <w:basedOn w:val="Normal"/>
    <w:pPr>
      <w:tabs>
        <w:tab w:val="left" w:pos="20"/>
        <w:tab w:val="right" w:pos="9072"/>
      </w:tabs>
    </w:pPr>
    <w:rPr>
      <w:sz w:val="22"/>
    </w:rPr>
  </w:style>
  <w:style w:type="paragraph" w:styleId="BodyTextIndent2">
    <w:name w:val="Body Text Indent 2"/>
    <w:basedOn w:val="Normal"/>
    <w:pPr>
      <w:tabs>
        <w:tab w:val="left" w:pos="20"/>
        <w:tab w:val="right" w:pos="9072"/>
      </w:tabs>
      <w:ind w:left="20"/>
    </w:pPr>
    <w:rPr>
      <w:sz w:val="24"/>
    </w:rPr>
  </w:style>
  <w:style w:type="paragraph" w:styleId="BodyTextIndent3">
    <w:name w:val="Body Text Indent 3"/>
    <w:basedOn w:val="Normal"/>
    <w:pPr>
      <w:tabs>
        <w:tab w:val="left" w:pos="20"/>
        <w:tab w:val="right" w:pos="9072"/>
      </w:tabs>
      <w:ind w:left="20"/>
    </w:pPr>
    <w:rPr>
      <w:b/>
      <w:sz w:val="22"/>
    </w:rPr>
  </w:style>
  <w:style w:type="paragraph" w:styleId="BodyText3">
    <w:name w:val="Body Text 3"/>
    <w:basedOn w:val="Normal"/>
    <w:pPr>
      <w:tabs>
        <w:tab w:val="left" w:pos="20"/>
        <w:tab w:val="right" w:pos="9072"/>
      </w:tabs>
    </w:pPr>
    <w:rPr>
      <w:b/>
      <w:sz w:val="26"/>
    </w:rPr>
  </w:style>
  <w:style w:type="paragraph" w:styleId="BodyTextIndent">
    <w:name w:val="Body Text Indent"/>
    <w:basedOn w:val="Normal"/>
    <w:pPr>
      <w:tabs>
        <w:tab w:val="left" w:pos="20"/>
        <w:tab w:val="left" w:pos="567"/>
        <w:tab w:val="left" w:pos="2835"/>
        <w:tab w:val="right" w:pos="9072"/>
      </w:tabs>
      <w:ind w:left="567"/>
    </w:pPr>
    <w:rPr>
      <w:sz w:val="2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20"/>
        <w:tab w:val="right" w:pos="9072"/>
      </w:tabs>
      <w:jc w:val="center"/>
    </w:pPr>
    <w:rPr>
      <w:b/>
    </w:rPr>
  </w:style>
  <w:style w:type="paragraph" w:styleId="PlainText">
    <w:name w:val="Plain Text"/>
    <w:basedOn w:val="Normal"/>
    <w:rsid w:val="00714137"/>
    <w:rPr>
      <w:rFonts w:ascii="Courier New" w:hAnsi="Courier New" w:cs="Courier New"/>
      <w:noProof w:val="0"/>
    </w:rPr>
  </w:style>
  <w:style w:type="character" w:customStyle="1" w:styleId="HeaderChar">
    <w:name w:val="Header Char"/>
    <w:link w:val="Header"/>
    <w:rsid w:val="00ED737C"/>
    <w:rPr>
      <w:noProof/>
    </w:rPr>
  </w:style>
  <w:style w:type="paragraph" w:styleId="ListParagraph">
    <w:name w:val="List Paragraph"/>
    <w:basedOn w:val="Normal"/>
    <w:uiPriority w:val="34"/>
    <w:qFormat/>
    <w:rsid w:val="001D2C8B"/>
    <w:pPr>
      <w:ind w:left="720"/>
      <w:contextualSpacing/>
    </w:pPr>
    <w:rPr>
      <w:rFonts w:ascii="Arial" w:hAnsi="Arial"/>
      <w:noProof w:val="0"/>
      <w:sz w:val="24"/>
      <w:lang w:eastAsia="en-US"/>
    </w:rPr>
  </w:style>
  <w:style w:type="character" w:styleId="Hyperlink">
    <w:name w:val="Hyperlink"/>
    <w:basedOn w:val="DefaultParagraphFont"/>
    <w:rsid w:val="00E532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32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A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F6E"/>
    <w:rPr>
      <w:rFonts w:ascii="Tahoma" w:hAnsi="Tahoma" w:cs="Tahoma"/>
      <w:noProof/>
      <w:sz w:val="16"/>
      <w:szCs w:val="16"/>
      <w:lang w:eastAsia="en-AU"/>
    </w:rPr>
  </w:style>
  <w:style w:type="table" w:styleId="TableGrid">
    <w:name w:val="Table Grid"/>
    <w:basedOn w:val="TableNormal"/>
    <w:rsid w:val="00641C97"/>
    <w:rPr>
      <w:rFonts w:ascii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D6A86"/>
    <w:rPr>
      <w:rFonts w:ascii="Calibri" w:eastAsia="Calibri" w:hAnsi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C6AB7"/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coholthinkagain.com.au/Alcohol-Your-Health/Online-tools/Australian-Alcohol-Guidelin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jog.org.au/our-services/community-and-youth-services/daw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hc.wa.gov.au/getting-help/community-alcohol-and-drug-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hc.wa.gov.au/media/1171/dependence-brochure-2014v8web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8F029-CB55-486D-8179-2CC45AB7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Requests for Advice</vt:lpstr>
    </vt:vector>
  </TitlesOfParts>
  <Company>keystrokes</Company>
  <LinksUpToDate>false</LinksUpToDate>
  <CharactersWithSpaces>5566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Requests for Advice</dc:title>
  <dc:creator>foobar</dc:creator>
  <cp:lastModifiedBy>Richard O'Regan</cp:lastModifiedBy>
  <cp:revision>2</cp:revision>
  <cp:lastPrinted>2020-04-12T04:05:00Z</cp:lastPrinted>
  <dcterms:created xsi:type="dcterms:W3CDTF">2020-04-17T01:51:00Z</dcterms:created>
  <dcterms:modified xsi:type="dcterms:W3CDTF">2020-04-17T01:51:00Z</dcterms:modified>
</cp:coreProperties>
</file>