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CD380" w14:textId="77777777" w:rsidR="009C6BFB" w:rsidRPr="009C6BFB" w:rsidRDefault="009C6BFB" w:rsidP="009C6BFB">
      <w:pPr>
        <w:pStyle w:val="Heading1"/>
        <w:spacing w:line="237" w:lineRule="auto"/>
        <w:ind w:left="0" w:right="31"/>
        <w:rPr>
          <w:rFonts w:ascii="Times New Roman" w:hAnsi="Times New Roman" w:cs="Times New Roman"/>
          <w:color w:val="55575A"/>
          <w:sz w:val="36"/>
          <w:szCs w:val="36"/>
        </w:rPr>
      </w:pPr>
    </w:p>
    <w:p w14:paraId="33116F0A" w14:textId="20DC2ED6" w:rsidR="00EA7CD7" w:rsidRDefault="00EA7CD7" w:rsidP="009C6BFB">
      <w:pPr>
        <w:pStyle w:val="Heading2"/>
        <w:ind w:left="0"/>
        <w:rPr>
          <w:rFonts w:ascii="Verdana" w:eastAsia="Verdana" w:hAnsi="Verdana" w:cs="Verdana"/>
          <w:color w:val="555759"/>
          <w:sz w:val="40"/>
          <w:szCs w:val="40"/>
          <w:lang w:val="en-AU"/>
        </w:rPr>
      </w:pPr>
      <w:r w:rsidRPr="00EA7CD7">
        <w:rPr>
          <w:rFonts w:ascii="Verdana" w:eastAsia="Verdana" w:hAnsi="Verdana" w:cs="Verdana"/>
          <w:color w:val="555759"/>
          <w:sz w:val="40"/>
          <w:szCs w:val="40"/>
          <w:lang w:val="en-AU"/>
        </w:rPr>
        <w:t>What is th</w:t>
      </w:r>
      <w:r w:rsidR="00D816EA">
        <w:rPr>
          <w:rFonts w:ascii="Verdana" w:eastAsia="Verdana" w:hAnsi="Verdana" w:cs="Verdana"/>
          <w:color w:val="555759"/>
          <w:sz w:val="40"/>
          <w:szCs w:val="40"/>
          <w:lang w:val="en-AU"/>
        </w:rPr>
        <w:t>e</w:t>
      </w:r>
    </w:p>
    <w:p w14:paraId="5B32B816" w14:textId="0688F63B" w:rsidR="0009209D" w:rsidRDefault="00EA7CD7" w:rsidP="009C6BFB">
      <w:pPr>
        <w:pStyle w:val="Heading2"/>
        <w:ind w:left="0"/>
        <w:rPr>
          <w:rFonts w:ascii="Verdana" w:hAnsi="Verdana"/>
          <w:color w:val="9C2376"/>
          <w:sz w:val="40"/>
          <w:szCs w:val="40"/>
          <w:lang w:val="en-AU"/>
        </w:rPr>
        <w:sectPr w:rsidR="0009209D" w:rsidSect="00105CDE">
          <w:headerReference w:type="default" r:id="rId8"/>
          <w:footerReference w:type="default" r:id="rId9"/>
          <w:type w:val="continuous"/>
          <w:pgSz w:w="11910" w:h="16840"/>
          <w:pgMar w:top="2200" w:right="1021" w:bottom="278" w:left="1021" w:header="720" w:footer="720" w:gutter="0"/>
          <w:cols w:space="720" w:equalWidth="0">
            <w:col w:w="9868" w:space="140"/>
          </w:cols>
          <w:docGrid w:linePitch="299"/>
        </w:sectPr>
      </w:pPr>
      <w:r w:rsidRPr="00EA7CD7">
        <w:rPr>
          <w:rFonts w:ascii="Verdana" w:hAnsi="Verdana"/>
          <w:color w:val="9C2376"/>
          <w:sz w:val="40"/>
          <w:szCs w:val="40"/>
          <w:lang w:val="en-AU"/>
        </w:rPr>
        <w:t xml:space="preserve">10 </w:t>
      </w:r>
      <w:r w:rsidR="004009CD">
        <w:rPr>
          <w:rFonts w:ascii="Verdana" w:hAnsi="Verdana"/>
          <w:color w:val="9C2376"/>
          <w:sz w:val="40"/>
          <w:szCs w:val="40"/>
          <w:lang w:val="en-AU"/>
        </w:rPr>
        <w:t>Y</w:t>
      </w:r>
      <w:r w:rsidRPr="00EA7CD7">
        <w:rPr>
          <w:rFonts w:ascii="Verdana" w:hAnsi="Verdana"/>
          <w:color w:val="9C2376"/>
          <w:sz w:val="40"/>
          <w:szCs w:val="40"/>
          <w:lang w:val="en-AU"/>
        </w:rPr>
        <w:t xml:space="preserve">ear </w:t>
      </w:r>
      <w:r w:rsidR="004009CD">
        <w:rPr>
          <w:rFonts w:ascii="Verdana" w:hAnsi="Verdana"/>
          <w:color w:val="9C2376"/>
          <w:sz w:val="40"/>
          <w:szCs w:val="40"/>
          <w:lang w:val="en-AU"/>
        </w:rPr>
        <w:t>M</w:t>
      </w:r>
      <w:r w:rsidRPr="00EA7CD7">
        <w:rPr>
          <w:rFonts w:ascii="Verdana" w:hAnsi="Verdana"/>
          <w:color w:val="9C2376"/>
          <w:sz w:val="40"/>
          <w:szCs w:val="40"/>
          <w:lang w:val="en-AU"/>
        </w:rPr>
        <w:t>oratorium?</w:t>
      </w:r>
    </w:p>
    <w:p w14:paraId="14F3EBBD" w14:textId="77777777" w:rsidR="00FF7077" w:rsidRPr="0009209D" w:rsidRDefault="00FF7077" w:rsidP="0009209D">
      <w:pPr>
        <w:pStyle w:val="BodyText"/>
        <w:spacing w:before="0"/>
        <w:rPr>
          <w:sz w:val="22"/>
          <w:szCs w:val="22"/>
        </w:rPr>
        <w:sectPr w:rsidR="00FF7077" w:rsidRPr="0009209D" w:rsidSect="008D7764">
          <w:type w:val="continuous"/>
          <w:pgSz w:w="11910" w:h="16840"/>
          <w:pgMar w:top="2200" w:right="1021" w:bottom="1701" w:left="1021" w:header="720" w:footer="720" w:gutter="0"/>
          <w:cols w:space="720"/>
        </w:sectPr>
      </w:pPr>
    </w:p>
    <w:p w14:paraId="65E264C2" w14:textId="36224EB2" w:rsidR="00EA7CD7" w:rsidRDefault="00EA7CD7" w:rsidP="00EA7CD7">
      <w:pPr>
        <w:rPr>
          <w:rFonts w:eastAsia="Verdana"/>
          <w:color w:val="555759"/>
          <w:sz w:val="20"/>
          <w:szCs w:val="20"/>
          <w:lang w:val="en-AU"/>
        </w:rPr>
      </w:pPr>
      <w:r w:rsidRPr="00EA7CD7">
        <w:rPr>
          <w:rFonts w:eastAsia="Verdana"/>
          <w:color w:val="555759"/>
          <w:sz w:val="20"/>
          <w:szCs w:val="20"/>
          <w:lang w:val="en-AU"/>
        </w:rPr>
        <w:t xml:space="preserve">Under </w:t>
      </w:r>
      <w:hyperlink r:id="rId10" w:history="1">
        <w:r w:rsidR="004F43B4" w:rsidRPr="004A5EE5">
          <w:rPr>
            <w:color w:val="555759"/>
            <w:sz w:val="20"/>
            <w:szCs w:val="20"/>
            <w:u w:val="single"/>
          </w:rPr>
          <w:t>Section 1</w:t>
        </w:r>
        <w:r w:rsidR="004F43B4" w:rsidRPr="004A5EE5">
          <w:rPr>
            <w:color w:val="555759"/>
            <w:sz w:val="20"/>
            <w:szCs w:val="20"/>
            <w:u w:val="single"/>
          </w:rPr>
          <w:t>9</w:t>
        </w:r>
        <w:r w:rsidR="004F43B4" w:rsidRPr="004A5EE5">
          <w:rPr>
            <w:color w:val="555759"/>
            <w:sz w:val="20"/>
            <w:szCs w:val="20"/>
            <w:u w:val="single"/>
          </w:rPr>
          <w:t>AB</w:t>
        </w:r>
      </w:hyperlink>
      <w:r w:rsidRPr="00EA7CD7">
        <w:rPr>
          <w:rFonts w:eastAsia="Verdana"/>
          <w:color w:val="555759"/>
          <w:sz w:val="20"/>
          <w:szCs w:val="20"/>
          <w:lang w:val="en-AU"/>
        </w:rPr>
        <w:t xml:space="preserve"> of the </w:t>
      </w:r>
      <w:hyperlink r:id="rId11" w:history="1">
        <w:r w:rsidR="004D7FE1" w:rsidRPr="00EE7B45">
          <w:rPr>
            <w:color w:val="555759"/>
            <w:sz w:val="20"/>
            <w:szCs w:val="20"/>
            <w:u w:val="single"/>
            <w:lang w:val="en-AU"/>
          </w:rPr>
          <w:t>Health Insurance A</w:t>
        </w:r>
        <w:r w:rsidR="004D7FE1" w:rsidRPr="00EE7B45">
          <w:rPr>
            <w:color w:val="555759"/>
            <w:sz w:val="20"/>
            <w:szCs w:val="20"/>
            <w:u w:val="single"/>
            <w:lang w:val="en-AU"/>
          </w:rPr>
          <w:t>c</w:t>
        </w:r>
        <w:r w:rsidR="004D7FE1" w:rsidRPr="00EE7B45">
          <w:rPr>
            <w:color w:val="555759"/>
            <w:sz w:val="20"/>
            <w:szCs w:val="20"/>
            <w:u w:val="single"/>
            <w:lang w:val="en-AU"/>
          </w:rPr>
          <w:t>t 1973</w:t>
        </w:r>
      </w:hyperlink>
      <w:r>
        <w:rPr>
          <w:rFonts w:eastAsia="Verdana"/>
          <w:color w:val="555759"/>
          <w:sz w:val="20"/>
          <w:szCs w:val="20"/>
          <w:lang w:val="en-AU"/>
        </w:rPr>
        <w:t>,</w:t>
      </w:r>
      <w:r w:rsidRPr="00EA7CD7">
        <w:rPr>
          <w:rFonts w:eastAsia="Verdana"/>
          <w:color w:val="555759"/>
          <w:sz w:val="20"/>
          <w:szCs w:val="20"/>
          <w:lang w:val="en-AU"/>
        </w:rPr>
        <w:t xml:space="preserve"> international medical graduates (IMGs) are restricted </w:t>
      </w:r>
      <w:r w:rsidR="004D7FE1">
        <w:rPr>
          <w:rFonts w:eastAsia="Verdana"/>
          <w:color w:val="555759"/>
          <w:sz w:val="20"/>
          <w:szCs w:val="20"/>
          <w:lang w:val="en-AU"/>
        </w:rPr>
        <w:t>on</w:t>
      </w:r>
      <w:r w:rsidRPr="00EA7CD7">
        <w:rPr>
          <w:rFonts w:eastAsia="Verdana"/>
          <w:color w:val="555759"/>
          <w:sz w:val="20"/>
          <w:szCs w:val="20"/>
          <w:lang w:val="en-AU"/>
        </w:rPr>
        <w:t xml:space="preserve"> where they can work and access Medicare benefits.</w:t>
      </w:r>
    </w:p>
    <w:p w14:paraId="6DA13BB9" w14:textId="77777777" w:rsidR="00EA7CD7" w:rsidRPr="00EA7CD7" w:rsidRDefault="00EA7CD7" w:rsidP="00EA7CD7">
      <w:pPr>
        <w:rPr>
          <w:rFonts w:eastAsia="Verdana"/>
          <w:color w:val="555759"/>
          <w:sz w:val="20"/>
          <w:szCs w:val="20"/>
          <w:lang w:val="en-AU"/>
        </w:rPr>
      </w:pPr>
    </w:p>
    <w:p w14:paraId="39404231" w14:textId="02885842" w:rsidR="00EA7CD7" w:rsidRDefault="00EA7CD7" w:rsidP="00EA7CD7">
      <w:pPr>
        <w:rPr>
          <w:rFonts w:eastAsia="Verdana"/>
          <w:color w:val="555759"/>
          <w:sz w:val="20"/>
          <w:szCs w:val="20"/>
          <w:lang w:val="en-AU"/>
        </w:rPr>
      </w:pPr>
      <w:r>
        <w:rPr>
          <w:rFonts w:eastAsia="Verdana"/>
          <w:color w:val="555759"/>
          <w:sz w:val="20"/>
          <w:szCs w:val="20"/>
          <w:lang w:val="en-AU"/>
        </w:rPr>
        <w:t>With</w:t>
      </w:r>
      <w:r w:rsidRPr="00EA7CD7">
        <w:rPr>
          <w:rFonts w:eastAsia="Verdana"/>
          <w:color w:val="555759"/>
          <w:sz w:val="20"/>
          <w:szCs w:val="20"/>
          <w:lang w:val="en-AU"/>
        </w:rPr>
        <w:t xml:space="preserve"> restrictions placed on their Medicare provider number for a period of 10 years</w:t>
      </w:r>
      <w:r>
        <w:rPr>
          <w:rFonts w:eastAsia="Verdana"/>
          <w:color w:val="555759"/>
          <w:sz w:val="20"/>
          <w:szCs w:val="20"/>
          <w:lang w:val="en-AU"/>
        </w:rPr>
        <w:t xml:space="preserve">, </w:t>
      </w:r>
      <w:r w:rsidRPr="00EA7CD7">
        <w:rPr>
          <w:rFonts w:eastAsia="Verdana"/>
          <w:color w:val="555759"/>
          <w:sz w:val="20"/>
          <w:szCs w:val="20"/>
          <w:lang w:val="en-AU"/>
        </w:rPr>
        <w:t>IMGs are required to work in a Distribution Priority Area (DPA) if they are a GP or a District of Workforce Shortage (DWS)</w:t>
      </w:r>
      <w:r w:rsidR="004D7FE1">
        <w:rPr>
          <w:rFonts w:eastAsia="Verdana"/>
          <w:color w:val="555759"/>
          <w:sz w:val="20"/>
          <w:szCs w:val="20"/>
          <w:lang w:val="en-AU"/>
        </w:rPr>
        <w:t xml:space="preserve"> area</w:t>
      </w:r>
      <w:r w:rsidRPr="00EA7CD7">
        <w:rPr>
          <w:rFonts w:eastAsia="Verdana"/>
          <w:color w:val="555759"/>
          <w:sz w:val="20"/>
          <w:szCs w:val="20"/>
          <w:lang w:val="en-AU"/>
        </w:rPr>
        <w:t xml:space="preserve"> </w:t>
      </w:r>
      <w:r>
        <w:rPr>
          <w:rFonts w:eastAsia="Verdana"/>
          <w:color w:val="555759"/>
          <w:sz w:val="20"/>
          <w:szCs w:val="20"/>
          <w:lang w:val="en-AU"/>
        </w:rPr>
        <w:t>if they are a</w:t>
      </w:r>
      <w:r w:rsidRPr="00EA7CD7">
        <w:rPr>
          <w:rFonts w:eastAsia="Verdana"/>
          <w:color w:val="555759"/>
          <w:sz w:val="20"/>
          <w:szCs w:val="20"/>
          <w:lang w:val="en-AU"/>
        </w:rPr>
        <w:t xml:space="preserve"> non-GP specialist</w:t>
      </w:r>
      <w:r>
        <w:rPr>
          <w:rFonts w:eastAsia="Verdana"/>
          <w:color w:val="555759"/>
          <w:sz w:val="20"/>
          <w:szCs w:val="20"/>
          <w:lang w:val="en-AU"/>
        </w:rPr>
        <w:t>.</w:t>
      </w:r>
    </w:p>
    <w:p w14:paraId="1D5A39D9" w14:textId="77777777" w:rsidR="00EA7CD7" w:rsidRPr="00EA7CD7" w:rsidRDefault="00EA7CD7" w:rsidP="00EA7CD7">
      <w:pPr>
        <w:rPr>
          <w:rFonts w:eastAsia="Verdana"/>
          <w:color w:val="555759"/>
          <w:sz w:val="20"/>
          <w:szCs w:val="20"/>
          <w:lang w:val="en-AU"/>
        </w:rPr>
      </w:pPr>
    </w:p>
    <w:p w14:paraId="102DE30B" w14:textId="77777777" w:rsidR="004D7FE1" w:rsidRPr="003D1788" w:rsidRDefault="004D7FE1" w:rsidP="004D7FE1">
      <w:pPr>
        <w:rPr>
          <w:rFonts w:eastAsia="Verdana"/>
          <w:color w:val="555759"/>
          <w:sz w:val="20"/>
          <w:szCs w:val="20"/>
          <w:lang w:val="en-AU"/>
        </w:rPr>
      </w:pPr>
      <w:r w:rsidRPr="003D1788">
        <w:rPr>
          <w:rFonts w:eastAsia="Verdana"/>
          <w:color w:val="555759"/>
          <w:sz w:val="20"/>
          <w:szCs w:val="20"/>
          <w:lang w:val="en-AU"/>
        </w:rPr>
        <w:t>An</w:t>
      </w:r>
      <w:r>
        <w:rPr>
          <w:rFonts w:eastAsia="Verdana"/>
          <w:color w:val="555759"/>
          <w:sz w:val="20"/>
          <w:szCs w:val="20"/>
          <w:lang w:val="en-AU"/>
        </w:rPr>
        <w:t xml:space="preserve"> IMG is classified as a</w:t>
      </w:r>
      <w:r w:rsidRPr="003D1788">
        <w:rPr>
          <w:rFonts w:eastAsia="Verdana"/>
          <w:color w:val="555759"/>
          <w:sz w:val="20"/>
          <w:szCs w:val="20"/>
          <w:lang w:val="en-AU"/>
        </w:rPr>
        <w:t xml:space="preserve"> </w:t>
      </w:r>
      <w:r>
        <w:rPr>
          <w:rFonts w:eastAsia="Verdana"/>
          <w:color w:val="555759"/>
          <w:sz w:val="20"/>
          <w:szCs w:val="20"/>
          <w:lang w:val="en-AU"/>
        </w:rPr>
        <w:t>person</w:t>
      </w:r>
      <w:r w:rsidRPr="003D1788">
        <w:rPr>
          <w:rFonts w:eastAsia="Verdana"/>
          <w:color w:val="555759"/>
          <w:sz w:val="20"/>
          <w:szCs w:val="20"/>
          <w:lang w:val="en-AU"/>
        </w:rPr>
        <w:t xml:space="preserve"> who:</w:t>
      </w:r>
    </w:p>
    <w:p w14:paraId="0F1230BE" w14:textId="43BE1893" w:rsidR="00EA7CD7" w:rsidRPr="00EA7CD7" w:rsidRDefault="00EA7CD7" w:rsidP="00EA7CD7">
      <w:pPr>
        <w:pStyle w:val="ListParagraph"/>
        <w:numPr>
          <w:ilvl w:val="0"/>
          <w:numId w:val="1"/>
        </w:numPr>
        <w:ind w:left="357" w:hanging="357"/>
        <w:rPr>
          <w:rFonts w:eastAsia="Verdana"/>
          <w:color w:val="555759"/>
          <w:sz w:val="20"/>
          <w:szCs w:val="20"/>
          <w:lang w:val="en-AU"/>
        </w:rPr>
      </w:pPr>
      <w:r w:rsidRPr="00EA7CD7">
        <w:rPr>
          <w:rFonts w:eastAsia="Verdana"/>
          <w:color w:val="555759"/>
          <w:sz w:val="20"/>
          <w:szCs w:val="20"/>
          <w:lang w:val="en-AU"/>
        </w:rPr>
        <w:t>completed a medical degree outside of Australia or New Zealand</w:t>
      </w:r>
    </w:p>
    <w:p w14:paraId="47E49A67" w14:textId="77777777" w:rsidR="00EA7CD7" w:rsidRPr="00EA7CD7" w:rsidRDefault="00EA7CD7" w:rsidP="00EA7CD7">
      <w:pPr>
        <w:pStyle w:val="ListParagraph"/>
        <w:numPr>
          <w:ilvl w:val="0"/>
          <w:numId w:val="1"/>
        </w:numPr>
        <w:ind w:left="357" w:hanging="357"/>
        <w:rPr>
          <w:rFonts w:eastAsia="Verdana"/>
          <w:color w:val="555759"/>
          <w:sz w:val="20"/>
          <w:szCs w:val="20"/>
          <w:lang w:val="en-AU"/>
        </w:rPr>
      </w:pPr>
      <w:r w:rsidRPr="00EA7CD7">
        <w:rPr>
          <w:rFonts w:eastAsia="Verdana"/>
          <w:color w:val="555759"/>
          <w:sz w:val="20"/>
          <w:szCs w:val="20"/>
          <w:lang w:val="en-AU"/>
        </w:rPr>
        <w:t>completed a medical degree in Australia or New Zealand as a temporary resident.</w:t>
      </w:r>
    </w:p>
    <w:p w14:paraId="28042FCB" w14:textId="77777777" w:rsidR="00EA7CD7" w:rsidRPr="00EA7CD7" w:rsidRDefault="00EA7CD7" w:rsidP="00EA7CD7">
      <w:pPr>
        <w:rPr>
          <w:rFonts w:eastAsia="Verdana"/>
          <w:color w:val="555759"/>
          <w:sz w:val="20"/>
          <w:szCs w:val="20"/>
          <w:lang w:val="en-AU"/>
        </w:rPr>
      </w:pPr>
    </w:p>
    <w:p w14:paraId="43AA586F" w14:textId="01C4D617" w:rsidR="00EA7CD7" w:rsidRDefault="00EA7CD7" w:rsidP="00EA7CD7">
      <w:pPr>
        <w:rPr>
          <w:rFonts w:eastAsia="Verdana"/>
          <w:color w:val="555759"/>
          <w:sz w:val="20"/>
          <w:szCs w:val="20"/>
          <w:lang w:val="en-AU"/>
        </w:rPr>
      </w:pPr>
      <w:r w:rsidRPr="00EA7CD7">
        <w:rPr>
          <w:rFonts w:eastAsia="Verdana"/>
          <w:color w:val="555759"/>
          <w:sz w:val="20"/>
          <w:szCs w:val="20"/>
          <w:lang w:val="en-AU"/>
        </w:rPr>
        <w:t xml:space="preserve">Known as the </w:t>
      </w:r>
      <w:bookmarkStart w:id="0" w:name="_Hlk49267027"/>
      <w:r w:rsidRPr="00EA7CD7">
        <w:rPr>
          <w:rFonts w:eastAsia="Verdana"/>
          <w:color w:val="555759"/>
          <w:sz w:val="20"/>
          <w:szCs w:val="20"/>
          <w:lang w:val="en-AU"/>
        </w:rPr>
        <w:t>10 year moratorium</w:t>
      </w:r>
      <w:bookmarkEnd w:id="0"/>
      <w:r w:rsidRPr="00EA7CD7">
        <w:rPr>
          <w:rFonts w:eastAsia="Verdana"/>
          <w:color w:val="555759"/>
          <w:sz w:val="20"/>
          <w:szCs w:val="20"/>
          <w:lang w:val="en-AU"/>
        </w:rPr>
        <w:t>, the restrictions remain in place until the service period is completed</w:t>
      </w:r>
      <w:r>
        <w:rPr>
          <w:rFonts w:eastAsia="Verdana"/>
          <w:color w:val="555759"/>
          <w:sz w:val="20"/>
          <w:szCs w:val="20"/>
          <w:lang w:val="en-AU"/>
        </w:rPr>
        <w:t xml:space="preserve"> </w:t>
      </w:r>
      <w:r w:rsidRPr="00EA7CD7">
        <w:rPr>
          <w:rFonts w:eastAsia="Verdana"/>
          <w:color w:val="555759"/>
          <w:sz w:val="20"/>
          <w:szCs w:val="20"/>
          <w:lang w:val="en-AU"/>
        </w:rPr>
        <w:t>and the doctor becomes a permanent resident or Australian citizen.</w:t>
      </w:r>
    </w:p>
    <w:p w14:paraId="4B65298B" w14:textId="77777777" w:rsidR="00A90C8D" w:rsidRPr="00A90C8D" w:rsidRDefault="00A90C8D" w:rsidP="00A90C8D">
      <w:pPr>
        <w:rPr>
          <w:rFonts w:eastAsia="Verdana"/>
          <w:color w:val="555759"/>
          <w:sz w:val="20"/>
          <w:szCs w:val="20"/>
          <w:lang w:val="en-AU"/>
        </w:rPr>
      </w:pPr>
    </w:p>
    <w:p w14:paraId="26EAC510" w14:textId="57559887" w:rsidR="00EA7CD7" w:rsidRPr="00EA7CD7" w:rsidRDefault="00D42644" w:rsidP="00EA7CD7">
      <w:pPr>
        <w:pStyle w:val="BodyText"/>
        <w:spacing w:before="0" w:line="360" w:lineRule="auto"/>
        <w:rPr>
          <w:color w:val="9C2376"/>
          <w:sz w:val="24"/>
          <w:szCs w:val="24"/>
          <w:lang w:val="en-AU"/>
        </w:rPr>
      </w:pPr>
      <w:r>
        <w:rPr>
          <w:color w:val="9C2376"/>
          <w:sz w:val="24"/>
          <w:szCs w:val="24"/>
          <w:lang w:val="en-AU"/>
        </w:rPr>
        <w:t>10 year m</w:t>
      </w:r>
      <w:r w:rsidR="00EA7CD7" w:rsidRPr="00EA7CD7">
        <w:rPr>
          <w:color w:val="9C2376"/>
          <w:sz w:val="24"/>
          <w:szCs w:val="24"/>
          <w:lang w:val="en-AU"/>
        </w:rPr>
        <w:t xml:space="preserve">oratorium </w:t>
      </w:r>
      <w:r>
        <w:rPr>
          <w:color w:val="9C2376"/>
          <w:sz w:val="24"/>
          <w:szCs w:val="24"/>
          <w:lang w:val="en-AU"/>
        </w:rPr>
        <w:t>s</w:t>
      </w:r>
      <w:r w:rsidR="00EA7CD7" w:rsidRPr="00EA7CD7">
        <w:rPr>
          <w:color w:val="9C2376"/>
          <w:sz w:val="24"/>
          <w:szCs w:val="24"/>
          <w:lang w:val="en-AU"/>
        </w:rPr>
        <w:t>caling</w:t>
      </w:r>
    </w:p>
    <w:p w14:paraId="346F8AB5" w14:textId="77777777" w:rsidR="00D42644" w:rsidRDefault="00D42644" w:rsidP="0018763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  <w:r w:rsidRPr="003D1788">
        <w:rPr>
          <w:rFonts w:eastAsia="Verdana"/>
          <w:color w:val="555759"/>
          <w:sz w:val="20"/>
          <w:szCs w:val="20"/>
          <w:lang w:val="en-AU"/>
        </w:rPr>
        <w:t>Through 10 year moratorium scaling, GPs and non-GP specialists can work in more remote locations to</w:t>
      </w:r>
      <w:r>
        <w:rPr>
          <w:rFonts w:eastAsia="Verdana"/>
          <w:color w:val="555759"/>
          <w:sz w:val="20"/>
          <w:szCs w:val="20"/>
          <w:lang w:val="en-AU"/>
        </w:rPr>
        <w:t xml:space="preserve"> </w:t>
      </w:r>
      <w:r w:rsidRPr="003D1788">
        <w:rPr>
          <w:rFonts w:eastAsia="Verdana"/>
          <w:color w:val="555759"/>
          <w:sz w:val="20"/>
          <w:szCs w:val="20"/>
          <w:lang w:val="en-AU"/>
        </w:rPr>
        <w:t>reduce the amount of time they are required to work in DPA and DWS areas</w:t>
      </w:r>
      <w:r>
        <w:rPr>
          <w:rFonts w:eastAsia="Verdana"/>
          <w:color w:val="555759"/>
          <w:sz w:val="20"/>
          <w:szCs w:val="20"/>
          <w:lang w:val="en-AU"/>
        </w:rPr>
        <w:t xml:space="preserve"> </w:t>
      </w:r>
      <w:r w:rsidRPr="003D1788">
        <w:rPr>
          <w:rFonts w:eastAsia="Verdana"/>
          <w:color w:val="555759"/>
          <w:sz w:val="20"/>
          <w:szCs w:val="20"/>
          <w:lang w:val="en-AU"/>
        </w:rPr>
        <w:t>by up to 5 years</w:t>
      </w:r>
      <w:r>
        <w:rPr>
          <w:rFonts w:eastAsia="Verdana"/>
          <w:color w:val="555759"/>
          <w:sz w:val="20"/>
          <w:szCs w:val="20"/>
          <w:lang w:val="en-AU"/>
        </w:rPr>
        <w:t>.</w:t>
      </w:r>
    </w:p>
    <w:p w14:paraId="6C81995F" w14:textId="77777777" w:rsidR="00EA7CD7" w:rsidRPr="00EA7CD7" w:rsidRDefault="00EA7CD7" w:rsidP="0018763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06B71F2F" w14:textId="566965DB" w:rsidR="00AB4B44" w:rsidRDefault="00EA7CD7" w:rsidP="0018763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  <w:r w:rsidRPr="00EA7CD7">
        <w:rPr>
          <w:rFonts w:eastAsia="Verdana"/>
          <w:color w:val="555759"/>
          <w:sz w:val="20"/>
          <w:szCs w:val="20"/>
          <w:lang w:val="en-AU"/>
        </w:rPr>
        <w:t>The more remote a location is, the more scaling credits will be applied to the</w:t>
      </w:r>
      <w:r w:rsidR="00D42644">
        <w:rPr>
          <w:rFonts w:eastAsia="Verdana"/>
          <w:color w:val="555759"/>
          <w:sz w:val="20"/>
          <w:szCs w:val="20"/>
          <w:lang w:val="en-AU"/>
        </w:rPr>
        <w:t>ir</w:t>
      </w:r>
      <w:r w:rsidRPr="00EA7CD7">
        <w:rPr>
          <w:rFonts w:eastAsia="Verdana"/>
          <w:color w:val="555759"/>
          <w:sz w:val="20"/>
          <w:szCs w:val="20"/>
          <w:lang w:val="en-AU"/>
        </w:rPr>
        <w:t xml:space="preserve"> 10 year </w:t>
      </w:r>
      <w:r w:rsidR="00D42644">
        <w:rPr>
          <w:rFonts w:eastAsia="Verdana"/>
          <w:color w:val="555759"/>
          <w:sz w:val="20"/>
          <w:szCs w:val="20"/>
          <w:lang w:val="en-AU"/>
        </w:rPr>
        <w:t xml:space="preserve">moratorium </w:t>
      </w:r>
      <w:r w:rsidRPr="00EA7CD7">
        <w:rPr>
          <w:rFonts w:eastAsia="Verdana"/>
          <w:color w:val="555759"/>
          <w:sz w:val="20"/>
          <w:szCs w:val="20"/>
          <w:lang w:val="en-AU"/>
        </w:rPr>
        <w:t>service requirements.</w:t>
      </w:r>
      <w:r w:rsidR="00D42644">
        <w:rPr>
          <w:rFonts w:eastAsia="Verdana"/>
          <w:color w:val="555759"/>
          <w:sz w:val="20"/>
          <w:szCs w:val="20"/>
          <w:lang w:val="en-AU"/>
        </w:rPr>
        <w:t xml:space="preserve"> Once</w:t>
      </w:r>
      <w:r w:rsidRPr="00EA7CD7">
        <w:rPr>
          <w:rFonts w:eastAsia="Verdana"/>
          <w:color w:val="555759"/>
          <w:sz w:val="20"/>
          <w:szCs w:val="20"/>
          <w:lang w:val="en-AU"/>
        </w:rPr>
        <w:t xml:space="preserve"> the doctor </w:t>
      </w:r>
      <w:r w:rsidR="00D42644">
        <w:rPr>
          <w:rFonts w:eastAsia="Verdana"/>
          <w:color w:val="555759"/>
          <w:sz w:val="20"/>
          <w:szCs w:val="20"/>
          <w:lang w:val="en-AU"/>
        </w:rPr>
        <w:t>meets</w:t>
      </w:r>
      <w:r w:rsidRPr="00EA7CD7">
        <w:rPr>
          <w:rFonts w:eastAsia="Verdana"/>
          <w:color w:val="555759"/>
          <w:sz w:val="20"/>
          <w:szCs w:val="20"/>
          <w:lang w:val="en-AU"/>
        </w:rPr>
        <w:t xml:space="preserve"> the requirements of </w:t>
      </w:r>
      <w:r w:rsidR="00D42644">
        <w:rPr>
          <w:rFonts w:eastAsia="Verdana"/>
          <w:color w:val="555759"/>
          <w:sz w:val="20"/>
          <w:szCs w:val="20"/>
          <w:lang w:val="en-AU"/>
        </w:rPr>
        <w:t xml:space="preserve">Section </w:t>
      </w:r>
      <w:r w:rsidRPr="00EA7CD7">
        <w:rPr>
          <w:rFonts w:eastAsia="Verdana"/>
          <w:color w:val="555759"/>
          <w:sz w:val="20"/>
          <w:szCs w:val="20"/>
          <w:lang w:val="en-AU"/>
        </w:rPr>
        <w:t>19AB and 19AA</w:t>
      </w:r>
      <w:r w:rsidR="00D42644">
        <w:rPr>
          <w:rFonts w:eastAsia="Verdana"/>
          <w:color w:val="555759"/>
          <w:sz w:val="20"/>
          <w:szCs w:val="20"/>
          <w:lang w:val="en-AU"/>
        </w:rPr>
        <w:t>,</w:t>
      </w:r>
      <w:r w:rsidRPr="00EA7CD7">
        <w:rPr>
          <w:rFonts w:eastAsia="Verdana"/>
          <w:color w:val="555759"/>
          <w:sz w:val="20"/>
          <w:szCs w:val="20"/>
          <w:lang w:val="en-AU"/>
        </w:rPr>
        <w:t xml:space="preserve"> they </w:t>
      </w:r>
      <w:r w:rsidR="00D42644">
        <w:rPr>
          <w:rFonts w:eastAsia="Verdana"/>
          <w:color w:val="555759"/>
          <w:sz w:val="20"/>
          <w:szCs w:val="20"/>
          <w:lang w:val="en-AU"/>
        </w:rPr>
        <w:t>will be</w:t>
      </w:r>
      <w:r w:rsidRPr="00EA7CD7">
        <w:rPr>
          <w:rFonts w:eastAsia="Verdana"/>
          <w:color w:val="555759"/>
          <w:sz w:val="20"/>
          <w:szCs w:val="20"/>
          <w:lang w:val="en-AU"/>
        </w:rPr>
        <w:t xml:space="preserve"> able to work </w:t>
      </w:r>
      <w:r w:rsidR="00B56D74">
        <w:rPr>
          <w:rFonts w:eastAsia="Verdana"/>
          <w:color w:val="555759"/>
          <w:sz w:val="20"/>
          <w:szCs w:val="20"/>
          <w:lang w:val="en-AU"/>
        </w:rPr>
        <w:t>in</w:t>
      </w:r>
      <w:r w:rsidRPr="00EA7CD7">
        <w:rPr>
          <w:rFonts w:eastAsia="Verdana"/>
          <w:color w:val="555759"/>
          <w:sz w:val="20"/>
          <w:szCs w:val="20"/>
          <w:lang w:val="en-AU"/>
        </w:rPr>
        <w:t xml:space="preserve"> any location across Australia.</w:t>
      </w:r>
    </w:p>
    <w:p w14:paraId="409FE578" w14:textId="77777777" w:rsidR="004009CD" w:rsidRPr="00AB4B44" w:rsidRDefault="004009CD" w:rsidP="004009CD">
      <w:pPr>
        <w:pStyle w:val="BodyText"/>
        <w:rPr>
          <w:rFonts w:eastAsia="Verdana"/>
          <w:color w:val="555759"/>
          <w:sz w:val="20"/>
          <w:szCs w:val="20"/>
          <w:lang w:val="en-AU"/>
        </w:rPr>
      </w:pPr>
    </w:p>
    <w:p w14:paraId="25BB1D11" w14:textId="0EAA6320" w:rsidR="00677602" w:rsidRPr="00677602" w:rsidRDefault="00677602" w:rsidP="00677602">
      <w:pPr>
        <w:pStyle w:val="Heading2"/>
        <w:spacing w:line="360" w:lineRule="auto"/>
        <w:ind w:left="0"/>
        <w:rPr>
          <w:color w:val="9C2376"/>
          <w:lang w:val="en-AU"/>
        </w:rPr>
      </w:pPr>
      <w:r w:rsidRPr="00677602">
        <w:rPr>
          <w:color w:val="9C2376"/>
          <w:lang w:val="en-AU"/>
        </w:rPr>
        <w:t xml:space="preserve">How does </w:t>
      </w:r>
      <w:r w:rsidR="0045653B">
        <w:rPr>
          <w:color w:val="9C2376"/>
          <w:lang w:val="en-AU"/>
        </w:rPr>
        <w:t>the scaling</w:t>
      </w:r>
      <w:r w:rsidRPr="00677602">
        <w:rPr>
          <w:color w:val="9C2376"/>
          <w:lang w:val="en-AU"/>
        </w:rPr>
        <w:t xml:space="preserve"> work?</w:t>
      </w:r>
    </w:p>
    <w:p w14:paraId="5690347D" w14:textId="6313FD40" w:rsidR="00677602" w:rsidRPr="00677602" w:rsidRDefault="00677602" w:rsidP="0018763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  <w:bookmarkStart w:id="1" w:name="_Hlk49348628"/>
      <w:r w:rsidRPr="00677602">
        <w:rPr>
          <w:rFonts w:eastAsia="Verdana"/>
          <w:color w:val="555759"/>
          <w:sz w:val="20"/>
          <w:szCs w:val="20"/>
          <w:lang w:val="en-AU"/>
        </w:rPr>
        <w:t xml:space="preserve">Moratorium scaling </w:t>
      </w:r>
      <w:r w:rsidR="0045653B">
        <w:rPr>
          <w:rFonts w:eastAsia="Verdana"/>
          <w:color w:val="555759"/>
          <w:sz w:val="20"/>
          <w:szCs w:val="20"/>
          <w:lang w:val="en-AU"/>
        </w:rPr>
        <w:t>will</w:t>
      </w:r>
      <w:r w:rsidRPr="00677602">
        <w:rPr>
          <w:rFonts w:eastAsia="Verdana"/>
          <w:color w:val="555759"/>
          <w:sz w:val="20"/>
          <w:szCs w:val="20"/>
          <w:lang w:val="en-AU"/>
        </w:rPr>
        <w:t xml:space="preserve"> be applied when IMGs meet the following conditions:</w:t>
      </w:r>
    </w:p>
    <w:p w14:paraId="4543DD07" w14:textId="77777777" w:rsidR="00677602" w:rsidRPr="00677602" w:rsidRDefault="00677602" w:rsidP="00187631">
      <w:pPr>
        <w:pStyle w:val="ListParagraph"/>
        <w:numPr>
          <w:ilvl w:val="0"/>
          <w:numId w:val="1"/>
        </w:numPr>
        <w:ind w:left="357" w:hanging="357"/>
        <w:rPr>
          <w:rFonts w:eastAsia="Verdana"/>
          <w:color w:val="555759"/>
          <w:sz w:val="20"/>
          <w:szCs w:val="20"/>
          <w:lang w:val="en-AU"/>
        </w:rPr>
      </w:pPr>
      <w:r w:rsidRPr="00677602">
        <w:rPr>
          <w:rFonts w:eastAsia="Verdana"/>
          <w:color w:val="555759"/>
          <w:sz w:val="20"/>
          <w:szCs w:val="20"/>
          <w:lang w:val="en-AU"/>
        </w:rPr>
        <w:t>Work is undertaken in an eligible regional or remote area under Section 19AB.</w:t>
      </w:r>
    </w:p>
    <w:p w14:paraId="57833C6B" w14:textId="7F815F92" w:rsidR="00677602" w:rsidRPr="00677602" w:rsidRDefault="00677602" w:rsidP="00187631">
      <w:pPr>
        <w:pStyle w:val="ListParagraph"/>
        <w:numPr>
          <w:ilvl w:val="0"/>
          <w:numId w:val="1"/>
        </w:numPr>
        <w:ind w:left="357" w:hanging="357"/>
        <w:rPr>
          <w:rFonts w:eastAsia="Verdana"/>
          <w:color w:val="555759"/>
          <w:sz w:val="20"/>
          <w:szCs w:val="20"/>
          <w:lang w:val="en-AU"/>
        </w:rPr>
      </w:pPr>
      <w:r w:rsidRPr="00677602">
        <w:rPr>
          <w:rFonts w:eastAsia="Verdana"/>
          <w:color w:val="555759"/>
          <w:sz w:val="20"/>
          <w:szCs w:val="20"/>
          <w:lang w:val="en-AU"/>
        </w:rPr>
        <w:t xml:space="preserve">Claims are submitted for Medicare Benefit Schedule </w:t>
      </w:r>
      <w:r>
        <w:rPr>
          <w:rFonts w:eastAsia="Verdana"/>
          <w:color w:val="555759"/>
          <w:sz w:val="20"/>
          <w:szCs w:val="20"/>
          <w:lang w:val="en-AU"/>
        </w:rPr>
        <w:t>i</w:t>
      </w:r>
      <w:r w:rsidRPr="00677602">
        <w:rPr>
          <w:rFonts w:eastAsia="Verdana"/>
          <w:color w:val="555759"/>
          <w:sz w:val="20"/>
          <w:szCs w:val="20"/>
          <w:lang w:val="en-AU"/>
        </w:rPr>
        <w:t>tems for services provided.</w:t>
      </w:r>
    </w:p>
    <w:p w14:paraId="60B1BDC5" w14:textId="44940918" w:rsidR="00677602" w:rsidRDefault="00677602" w:rsidP="00187631">
      <w:pPr>
        <w:pStyle w:val="ListParagraph"/>
        <w:numPr>
          <w:ilvl w:val="0"/>
          <w:numId w:val="1"/>
        </w:numPr>
        <w:ind w:left="357" w:hanging="357"/>
        <w:rPr>
          <w:rFonts w:eastAsia="Verdana"/>
          <w:color w:val="555759"/>
          <w:sz w:val="20"/>
          <w:szCs w:val="20"/>
          <w:lang w:val="en-AU"/>
        </w:rPr>
      </w:pPr>
      <w:r w:rsidRPr="00677602">
        <w:rPr>
          <w:rFonts w:eastAsia="Verdana"/>
          <w:color w:val="555759"/>
          <w:sz w:val="20"/>
          <w:szCs w:val="20"/>
          <w:lang w:val="en-AU"/>
        </w:rPr>
        <w:t>There is a monthly billing threshold of $5,000</w:t>
      </w:r>
      <w:bookmarkEnd w:id="1"/>
      <w:r w:rsidRPr="00677602">
        <w:rPr>
          <w:rFonts w:eastAsia="Verdana"/>
          <w:color w:val="555759"/>
          <w:sz w:val="20"/>
          <w:szCs w:val="20"/>
          <w:lang w:val="en-AU"/>
        </w:rPr>
        <w:t>.</w:t>
      </w:r>
    </w:p>
    <w:p w14:paraId="7E2DBAED" w14:textId="77777777" w:rsidR="0045653B" w:rsidRPr="0045653B" w:rsidRDefault="0045653B" w:rsidP="00187631">
      <w:pPr>
        <w:rPr>
          <w:rFonts w:eastAsia="Verdana"/>
          <w:color w:val="555759"/>
          <w:sz w:val="20"/>
          <w:szCs w:val="20"/>
          <w:lang w:val="en-AU"/>
        </w:rPr>
      </w:pPr>
    </w:p>
    <w:p w14:paraId="1DCA13CC" w14:textId="6D857BE4" w:rsidR="00677602" w:rsidRDefault="00677602" w:rsidP="0018763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  <w:r w:rsidRPr="00677602">
        <w:rPr>
          <w:rFonts w:eastAsia="Verdana"/>
          <w:color w:val="555759"/>
          <w:sz w:val="20"/>
          <w:szCs w:val="20"/>
          <w:lang w:val="en-AU"/>
        </w:rPr>
        <w:t xml:space="preserve">Medicare automatically calculates and applies </w:t>
      </w:r>
      <w:r w:rsidR="0045653B">
        <w:rPr>
          <w:rFonts w:eastAsia="Verdana"/>
          <w:color w:val="555759"/>
          <w:sz w:val="20"/>
          <w:szCs w:val="20"/>
          <w:lang w:val="en-AU"/>
        </w:rPr>
        <w:t xml:space="preserve">the </w:t>
      </w:r>
      <w:r w:rsidRPr="00677602">
        <w:rPr>
          <w:rFonts w:eastAsia="Verdana"/>
          <w:color w:val="555759"/>
          <w:sz w:val="20"/>
          <w:szCs w:val="20"/>
          <w:lang w:val="en-AU"/>
        </w:rPr>
        <w:t>scaling credits based on Medicare billing data.</w:t>
      </w:r>
    </w:p>
    <w:p w14:paraId="2B600CFE" w14:textId="25641543" w:rsidR="00187631" w:rsidRDefault="00187631" w:rsidP="0018763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0B90681C" w14:textId="77777777" w:rsidR="00187631" w:rsidRDefault="00187631" w:rsidP="0018763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6C663BCB" w14:textId="1CCACE7B" w:rsidR="00677602" w:rsidRDefault="00677602" w:rsidP="0018763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  <w:r w:rsidRPr="00677602">
        <w:rPr>
          <w:rFonts w:eastAsia="Verdana"/>
          <w:color w:val="555759"/>
          <w:sz w:val="20"/>
          <w:szCs w:val="20"/>
          <w:lang w:val="en-AU"/>
        </w:rPr>
        <w:t>Wh</w:t>
      </w:r>
      <w:r w:rsidR="0045653B">
        <w:rPr>
          <w:rFonts w:eastAsia="Verdana"/>
          <w:color w:val="555759"/>
          <w:sz w:val="20"/>
          <w:szCs w:val="20"/>
          <w:lang w:val="en-AU"/>
        </w:rPr>
        <w:t>en</w:t>
      </w:r>
      <w:r w:rsidRPr="00677602">
        <w:rPr>
          <w:rFonts w:eastAsia="Verdana"/>
          <w:color w:val="555759"/>
          <w:sz w:val="20"/>
          <w:szCs w:val="20"/>
          <w:lang w:val="en-AU"/>
        </w:rPr>
        <w:t xml:space="preserve"> </w:t>
      </w:r>
      <w:r w:rsidR="0045653B">
        <w:rPr>
          <w:rFonts w:eastAsia="Verdana"/>
          <w:color w:val="555759"/>
          <w:sz w:val="20"/>
          <w:szCs w:val="20"/>
          <w:lang w:val="en-AU"/>
        </w:rPr>
        <w:t xml:space="preserve">a </w:t>
      </w:r>
      <w:r w:rsidRPr="00677602">
        <w:rPr>
          <w:rFonts w:eastAsia="Verdana"/>
          <w:color w:val="555759"/>
          <w:sz w:val="20"/>
          <w:szCs w:val="20"/>
          <w:lang w:val="en-AU"/>
        </w:rPr>
        <w:t>doctor work</w:t>
      </w:r>
      <w:r w:rsidR="0045653B">
        <w:rPr>
          <w:rFonts w:eastAsia="Verdana"/>
          <w:color w:val="555759"/>
          <w:sz w:val="20"/>
          <w:szCs w:val="20"/>
          <w:lang w:val="en-AU"/>
        </w:rPr>
        <w:t>s</w:t>
      </w:r>
      <w:r w:rsidRPr="00677602">
        <w:rPr>
          <w:rFonts w:eastAsia="Verdana"/>
          <w:color w:val="555759"/>
          <w:sz w:val="20"/>
          <w:szCs w:val="20"/>
          <w:lang w:val="en-AU"/>
        </w:rPr>
        <w:t xml:space="preserve"> in multiple areas </w:t>
      </w:r>
      <w:r w:rsidR="0045653B">
        <w:rPr>
          <w:rFonts w:eastAsia="Verdana"/>
          <w:color w:val="555759"/>
          <w:sz w:val="20"/>
          <w:szCs w:val="20"/>
          <w:lang w:val="en-AU"/>
        </w:rPr>
        <w:t xml:space="preserve">during a month </w:t>
      </w:r>
      <w:r w:rsidRPr="00677602">
        <w:rPr>
          <w:rFonts w:eastAsia="Verdana"/>
          <w:color w:val="555759"/>
          <w:sz w:val="20"/>
          <w:szCs w:val="20"/>
          <w:lang w:val="en-AU"/>
        </w:rPr>
        <w:t xml:space="preserve">and the $5,000 threshold </w:t>
      </w:r>
      <w:r w:rsidR="0045653B">
        <w:rPr>
          <w:rFonts w:eastAsia="Verdana"/>
          <w:color w:val="555759"/>
          <w:sz w:val="20"/>
          <w:szCs w:val="20"/>
          <w:lang w:val="en-AU"/>
        </w:rPr>
        <w:t>i</w:t>
      </w:r>
      <w:r w:rsidRPr="00677602">
        <w:rPr>
          <w:rFonts w:eastAsia="Verdana"/>
          <w:color w:val="555759"/>
          <w:sz w:val="20"/>
          <w:szCs w:val="20"/>
          <w:lang w:val="en-AU"/>
        </w:rPr>
        <w:t xml:space="preserve">s </w:t>
      </w:r>
      <w:r w:rsidR="0045653B">
        <w:rPr>
          <w:rFonts w:eastAsia="Verdana"/>
          <w:color w:val="555759"/>
          <w:sz w:val="20"/>
          <w:szCs w:val="20"/>
          <w:lang w:val="en-AU"/>
        </w:rPr>
        <w:t>reached</w:t>
      </w:r>
      <w:r w:rsidRPr="00677602">
        <w:rPr>
          <w:rFonts w:eastAsia="Verdana"/>
          <w:color w:val="555759"/>
          <w:sz w:val="20"/>
          <w:szCs w:val="20"/>
          <w:lang w:val="en-AU"/>
        </w:rPr>
        <w:t xml:space="preserve">, </w:t>
      </w:r>
      <w:r w:rsidR="0045653B">
        <w:rPr>
          <w:rFonts w:eastAsia="Verdana"/>
          <w:color w:val="555759"/>
          <w:sz w:val="20"/>
          <w:szCs w:val="20"/>
          <w:lang w:val="en-AU"/>
        </w:rPr>
        <w:t xml:space="preserve">the </w:t>
      </w:r>
      <w:r w:rsidRPr="00677602">
        <w:rPr>
          <w:rFonts w:eastAsia="Verdana"/>
          <w:color w:val="555759"/>
          <w:sz w:val="20"/>
          <w:szCs w:val="20"/>
          <w:lang w:val="en-AU"/>
        </w:rPr>
        <w:t xml:space="preserve">scaling </w:t>
      </w:r>
      <w:r w:rsidR="0045653B">
        <w:rPr>
          <w:rFonts w:eastAsia="Verdana"/>
          <w:color w:val="555759"/>
          <w:sz w:val="20"/>
          <w:szCs w:val="20"/>
          <w:lang w:val="en-AU"/>
        </w:rPr>
        <w:t>credit will be based</w:t>
      </w:r>
      <w:r w:rsidRPr="00677602">
        <w:rPr>
          <w:rFonts w:eastAsia="Verdana"/>
          <w:color w:val="555759"/>
          <w:sz w:val="20"/>
          <w:szCs w:val="20"/>
          <w:lang w:val="en-AU"/>
        </w:rPr>
        <w:t xml:space="preserve"> on the location where the most billing occurred.</w:t>
      </w:r>
    </w:p>
    <w:p w14:paraId="392E1C82" w14:textId="77777777" w:rsidR="00677602" w:rsidRPr="00677602" w:rsidRDefault="00677602" w:rsidP="0018763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16B0D653" w14:textId="1799E088" w:rsidR="00677602" w:rsidRDefault="00677602" w:rsidP="0018763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  <w:r w:rsidRPr="00677602">
        <w:rPr>
          <w:rFonts w:eastAsia="Verdana"/>
          <w:color w:val="555759"/>
          <w:sz w:val="20"/>
          <w:szCs w:val="20"/>
          <w:lang w:val="en-AU"/>
        </w:rPr>
        <w:t xml:space="preserve">Scaling credits and moratorium end dates can be checked by </w:t>
      </w:r>
      <w:r w:rsidRPr="00D816EA">
        <w:rPr>
          <w:rFonts w:eastAsia="Verdana"/>
          <w:color w:val="555759"/>
          <w:sz w:val="20"/>
          <w:szCs w:val="20"/>
          <w:lang w:val="en-AU"/>
        </w:rPr>
        <w:t xml:space="preserve">setting up a </w:t>
      </w:r>
      <w:hyperlink r:id="rId12" w:history="1">
        <w:r w:rsidRPr="00D816EA">
          <w:rPr>
            <w:color w:val="555759"/>
            <w:sz w:val="20"/>
            <w:szCs w:val="20"/>
            <w:u w:val="single"/>
            <w:lang w:val="en-AU"/>
          </w:rPr>
          <w:t>Health Pro</w:t>
        </w:r>
        <w:r w:rsidRPr="00D816EA">
          <w:rPr>
            <w:color w:val="555759"/>
            <w:sz w:val="20"/>
            <w:szCs w:val="20"/>
            <w:u w:val="single"/>
            <w:lang w:val="en-AU"/>
          </w:rPr>
          <w:t>f</w:t>
        </w:r>
        <w:r w:rsidRPr="00D816EA">
          <w:rPr>
            <w:color w:val="555759"/>
            <w:sz w:val="20"/>
            <w:szCs w:val="20"/>
            <w:u w:val="single"/>
            <w:lang w:val="en-AU"/>
          </w:rPr>
          <w:t>essional Online Services</w:t>
        </w:r>
        <w:r w:rsidR="0045653B" w:rsidRPr="00D816EA">
          <w:rPr>
            <w:color w:val="555759"/>
            <w:sz w:val="20"/>
            <w:szCs w:val="20"/>
            <w:u w:val="single"/>
            <w:lang w:val="en-AU"/>
          </w:rPr>
          <w:t xml:space="preserve"> (HPOS)</w:t>
        </w:r>
      </w:hyperlink>
      <w:r w:rsidRPr="00677602">
        <w:rPr>
          <w:rFonts w:eastAsia="Verdana"/>
          <w:color w:val="555759"/>
          <w:sz w:val="20"/>
          <w:szCs w:val="20"/>
          <w:lang w:val="en-AU"/>
        </w:rPr>
        <w:t xml:space="preserve"> account.</w:t>
      </w:r>
    </w:p>
    <w:p w14:paraId="55D0CF70" w14:textId="77777777" w:rsidR="0045653B" w:rsidRPr="00677602" w:rsidRDefault="0045653B" w:rsidP="0018763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6E3968F3" w14:textId="6CC6B5CC" w:rsidR="0045653B" w:rsidRPr="003D1788" w:rsidRDefault="0045653B" w:rsidP="0018763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  <w:r>
        <w:rPr>
          <w:rFonts w:eastAsia="Verdana"/>
          <w:color w:val="555759"/>
          <w:sz w:val="20"/>
          <w:szCs w:val="20"/>
          <w:lang w:val="en-AU"/>
        </w:rPr>
        <w:t>IMGs who are p</w:t>
      </w:r>
      <w:r w:rsidRPr="003D1788">
        <w:rPr>
          <w:rFonts w:eastAsia="Verdana"/>
          <w:color w:val="555759"/>
          <w:sz w:val="20"/>
          <w:szCs w:val="20"/>
          <w:lang w:val="en-AU"/>
        </w:rPr>
        <w:t>articipa</w:t>
      </w:r>
      <w:r>
        <w:rPr>
          <w:rFonts w:eastAsia="Verdana"/>
          <w:color w:val="555759"/>
          <w:sz w:val="20"/>
          <w:szCs w:val="20"/>
          <w:lang w:val="en-AU"/>
        </w:rPr>
        <w:t>ting in</w:t>
      </w:r>
      <w:r w:rsidRPr="003D1788">
        <w:rPr>
          <w:rFonts w:eastAsia="Verdana"/>
          <w:color w:val="555759"/>
          <w:sz w:val="20"/>
          <w:szCs w:val="20"/>
          <w:lang w:val="en-AU"/>
        </w:rPr>
        <w:t xml:space="preserve"> the </w:t>
      </w:r>
      <w:r w:rsidRPr="006051E5">
        <w:rPr>
          <w:rFonts w:eastAsia="Verdana"/>
          <w:color w:val="555759"/>
          <w:sz w:val="20"/>
          <w:szCs w:val="20"/>
          <w:lang w:val="en-AU"/>
        </w:rPr>
        <w:t xml:space="preserve">5 Year Overseas Trained Doctor (OTD) </w:t>
      </w:r>
      <w:r w:rsidRPr="003D1788">
        <w:rPr>
          <w:rFonts w:eastAsia="Verdana"/>
          <w:color w:val="555759"/>
          <w:sz w:val="20"/>
          <w:szCs w:val="20"/>
          <w:lang w:val="en-AU"/>
        </w:rPr>
        <w:t>Scheme are not eligible to receive scaling credits towards their 10 year moratorium.</w:t>
      </w:r>
    </w:p>
    <w:p w14:paraId="24761530" w14:textId="77777777" w:rsidR="00633CF7" w:rsidRDefault="00633CF7" w:rsidP="008C29B3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1430B851" w14:textId="3415A726" w:rsidR="00677602" w:rsidRPr="00677602" w:rsidRDefault="00AC4452" w:rsidP="00677602">
      <w:pPr>
        <w:pStyle w:val="BodyText"/>
        <w:spacing w:before="0" w:line="360" w:lineRule="auto"/>
        <w:rPr>
          <w:color w:val="9C2376"/>
          <w:sz w:val="24"/>
          <w:szCs w:val="24"/>
          <w:lang w:val="en-AU"/>
        </w:rPr>
      </w:pPr>
      <w:r>
        <w:rPr>
          <w:color w:val="9C2376"/>
          <w:sz w:val="24"/>
          <w:szCs w:val="24"/>
          <w:lang w:val="en-AU"/>
        </w:rPr>
        <w:t xml:space="preserve">How are </w:t>
      </w:r>
      <w:r w:rsidR="008E4A1A">
        <w:rPr>
          <w:color w:val="9C2376"/>
          <w:sz w:val="24"/>
          <w:szCs w:val="24"/>
          <w:lang w:val="en-AU"/>
        </w:rPr>
        <w:t>s</w:t>
      </w:r>
      <w:r w:rsidR="00677602" w:rsidRPr="00677602">
        <w:rPr>
          <w:color w:val="9C2376"/>
          <w:sz w:val="24"/>
          <w:szCs w:val="24"/>
          <w:lang w:val="en-AU"/>
        </w:rPr>
        <w:t xml:space="preserve">caling </w:t>
      </w:r>
      <w:r w:rsidR="008E4A1A">
        <w:rPr>
          <w:color w:val="9C2376"/>
          <w:sz w:val="24"/>
          <w:szCs w:val="24"/>
          <w:lang w:val="en-AU"/>
        </w:rPr>
        <w:t>c</w:t>
      </w:r>
      <w:r w:rsidR="00677602" w:rsidRPr="00677602">
        <w:rPr>
          <w:color w:val="9C2376"/>
          <w:sz w:val="24"/>
          <w:szCs w:val="24"/>
          <w:lang w:val="en-AU"/>
        </w:rPr>
        <w:t>redits</w:t>
      </w:r>
      <w:r>
        <w:rPr>
          <w:color w:val="9C2376"/>
          <w:sz w:val="24"/>
          <w:szCs w:val="24"/>
          <w:lang w:val="en-AU"/>
        </w:rPr>
        <w:t xml:space="preserve"> calculated?</w:t>
      </w:r>
    </w:p>
    <w:p w14:paraId="393FD849" w14:textId="36481D80" w:rsidR="004009CD" w:rsidRDefault="004009CD" w:rsidP="0018763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  <w:r w:rsidRPr="004009CD">
        <w:rPr>
          <w:rFonts w:eastAsia="Verdana"/>
          <w:color w:val="555759"/>
          <w:sz w:val="20"/>
          <w:szCs w:val="20"/>
          <w:lang w:val="en-AU"/>
        </w:rPr>
        <w:t>Scaling credits are calculated using the Australian Statistical Geographical Classification</w:t>
      </w:r>
      <w:r w:rsidR="003E0743">
        <w:rPr>
          <w:rFonts w:eastAsia="Verdana"/>
          <w:color w:val="555759"/>
          <w:sz w:val="20"/>
          <w:szCs w:val="20"/>
          <w:lang w:val="en-AU"/>
        </w:rPr>
        <w:t xml:space="preserve"> -</w:t>
      </w:r>
      <w:r w:rsidRPr="004009CD">
        <w:rPr>
          <w:rFonts w:eastAsia="Verdana"/>
          <w:color w:val="555759"/>
          <w:sz w:val="20"/>
          <w:szCs w:val="20"/>
          <w:lang w:val="en-AU"/>
        </w:rPr>
        <w:t xml:space="preserve"> Remoteness Area system</w:t>
      </w:r>
      <w:r w:rsidR="00F65F01">
        <w:rPr>
          <w:rFonts w:eastAsia="Verdana"/>
          <w:color w:val="555759"/>
          <w:sz w:val="20"/>
          <w:szCs w:val="20"/>
          <w:lang w:val="en-AU"/>
        </w:rPr>
        <w:t xml:space="preserve"> as outlined in the table below.</w:t>
      </w:r>
    </w:p>
    <w:p w14:paraId="3476D782" w14:textId="4E366FD7" w:rsidR="004009CD" w:rsidRDefault="004009CD" w:rsidP="004009CD">
      <w:pPr>
        <w:pStyle w:val="BodyText"/>
        <w:rPr>
          <w:rFonts w:eastAsia="Verdana"/>
          <w:color w:val="555759"/>
          <w:sz w:val="20"/>
          <w:szCs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578"/>
        <w:gridCol w:w="1137"/>
        <w:gridCol w:w="1328"/>
      </w:tblGrid>
      <w:tr w:rsidR="001632EF" w:rsidRPr="004009CD" w14:paraId="721850BD" w14:textId="77777777" w:rsidTr="001632EF">
        <w:tc>
          <w:tcPr>
            <w:tcW w:w="824" w:type="dxa"/>
          </w:tcPr>
          <w:p w14:paraId="10C05FE6" w14:textId="75DFDBCE" w:rsidR="004009CD" w:rsidRPr="004009CD" w:rsidRDefault="001632EF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b/>
                <w:bCs/>
                <w:color w:val="555759"/>
                <w:sz w:val="20"/>
                <w:szCs w:val="20"/>
              </w:rPr>
            </w:pPr>
            <w:r>
              <w:rPr>
                <w:rFonts w:eastAsia="Verdana"/>
                <w:b/>
                <w:bCs/>
                <w:color w:val="555759"/>
                <w:sz w:val="20"/>
                <w:szCs w:val="20"/>
              </w:rPr>
              <w:t>Area</w:t>
            </w:r>
          </w:p>
        </w:tc>
        <w:tc>
          <w:tcPr>
            <w:tcW w:w="1578" w:type="dxa"/>
          </w:tcPr>
          <w:p w14:paraId="3F2BADA8" w14:textId="373307C3" w:rsidR="004009CD" w:rsidRPr="004009CD" w:rsidRDefault="008E4A1A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b/>
                <w:bCs/>
                <w:color w:val="555759"/>
                <w:sz w:val="20"/>
                <w:szCs w:val="20"/>
              </w:rPr>
            </w:pPr>
            <w:r>
              <w:rPr>
                <w:rFonts w:eastAsia="Verdana"/>
                <w:b/>
                <w:bCs/>
                <w:color w:val="555759"/>
                <w:sz w:val="20"/>
                <w:szCs w:val="20"/>
              </w:rPr>
              <w:t xml:space="preserve">RA </w:t>
            </w:r>
            <w:r w:rsidR="004009CD" w:rsidRPr="004009CD">
              <w:rPr>
                <w:rFonts w:eastAsia="Verdana"/>
                <w:b/>
                <w:bCs/>
                <w:color w:val="555759"/>
                <w:sz w:val="20"/>
                <w:szCs w:val="20"/>
              </w:rPr>
              <w:t>Category</w:t>
            </w:r>
          </w:p>
        </w:tc>
        <w:tc>
          <w:tcPr>
            <w:tcW w:w="1137" w:type="dxa"/>
          </w:tcPr>
          <w:p w14:paraId="09B1DB3A" w14:textId="7923B71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b/>
                <w:bCs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b/>
                <w:bCs/>
                <w:color w:val="555759"/>
                <w:sz w:val="20"/>
                <w:szCs w:val="20"/>
              </w:rPr>
              <w:t xml:space="preserve">Monthly scaling </w:t>
            </w:r>
            <w:r w:rsidR="00AC7D57">
              <w:rPr>
                <w:rFonts w:eastAsia="Verdana"/>
                <w:b/>
                <w:bCs/>
                <w:color w:val="555759"/>
                <w:sz w:val="20"/>
                <w:szCs w:val="20"/>
              </w:rPr>
              <w:t>credit</w:t>
            </w:r>
            <w:r w:rsidRPr="004009CD">
              <w:rPr>
                <w:rFonts w:eastAsia="Verdana"/>
                <w:b/>
                <w:bCs/>
                <w:color w:val="555759"/>
                <w:sz w:val="20"/>
                <w:szCs w:val="20"/>
              </w:rPr>
              <w:t xml:space="preserve"> </w:t>
            </w:r>
          </w:p>
        </w:tc>
        <w:tc>
          <w:tcPr>
            <w:tcW w:w="1328" w:type="dxa"/>
          </w:tcPr>
          <w:p w14:paraId="073407B5" w14:textId="643BE38F" w:rsidR="004009CD" w:rsidRPr="004009CD" w:rsidRDefault="001632EF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b/>
                <w:bCs/>
                <w:color w:val="555759"/>
                <w:sz w:val="20"/>
                <w:szCs w:val="20"/>
              </w:rPr>
            </w:pPr>
            <w:r>
              <w:rPr>
                <w:rFonts w:eastAsia="Verdana"/>
                <w:b/>
                <w:bCs/>
                <w:color w:val="555759"/>
                <w:sz w:val="20"/>
                <w:szCs w:val="20"/>
              </w:rPr>
              <w:t xml:space="preserve">Potential </w:t>
            </w:r>
            <w:r w:rsidR="00AC7D57">
              <w:rPr>
                <w:rFonts w:eastAsia="Verdana"/>
                <w:b/>
                <w:bCs/>
                <w:color w:val="555759"/>
                <w:sz w:val="20"/>
                <w:szCs w:val="20"/>
              </w:rPr>
              <w:t>m</w:t>
            </w:r>
            <w:r w:rsidR="004009CD" w:rsidRPr="004009CD">
              <w:rPr>
                <w:rFonts w:eastAsia="Verdana"/>
                <w:b/>
                <w:bCs/>
                <w:color w:val="555759"/>
                <w:sz w:val="20"/>
                <w:szCs w:val="20"/>
              </w:rPr>
              <w:t>oratorium period</w:t>
            </w:r>
            <w:r>
              <w:rPr>
                <w:rFonts w:eastAsia="Verdana"/>
                <w:b/>
                <w:bCs/>
                <w:color w:val="555759"/>
                <w:sz w:val="20"/>
                <w:szCs w:val="20"/>
              </w:rPr>
              <w:t xml:space="preserve"> </w:t>
            </w:r>
          </w:p>
        </w:tc>
      </w:tr>
      <w:tr w:rsidR="001632EF" w:rsidRPr="004009CD" w14:paraId="08EA1AE0" w14:textId="77777777" w:rsidTr="001632EF">
        <w:tc>
          <w:tcPr>
            <w:tcW w:w="824" w:type="dxa"/>
          </w:tcPr>
          <w:p w14:paraId="29DE6663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RA 1</w:t>
            </w:r>
          </w:p>
        </w:tc>
        <w:tc>
          <w:tcPr>
            <w:tcW w:w="1578" w:type="dxa"/>
          </w:tcPr>
          <w:p w14:paraId="540AA407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Major cities</w:t>
            </w:r>
          </w:p>
        </w:tc>
        <w:tc>
          <w:tcPr>
            <w:tcW w:w="1137" w:type="dxa"/>
          </w:tcPr>
          <w:p w14:paraId="374385FF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Nil</w:t>
            </w:r>
          </w:p>
        </w:tc>
        <w:tc>
          <w:tcPr>
            <w:tcW w:w="1328" w:type="dxa"/>
          </w:tcPr>
          <w:p w14:paraId="34785F3B" w14:textId="050F4330" w:rsidR="004009CD" w:rsidRPr="004009CD" w:rsidRDefault="001632EF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>
              <w:rPr>
                <w:rFonts w:eastAsia="Verdana"/>
                <w:color w:val="555759"/>
                <w:sz w:val="20"/>
                <w:szCs w:val="20"/>
              </w:rPr>
              <w:t>10</w:t>
            </w:r>
            <w:r w:rsidRPr="004009CD">
              <w:rPr>
                <w:rFonts w:eastAsia="Verdana"/>
                <w:color w:val="555759"/>
                <w:sz w:val="20"/>
                <w:szCs w:val="20"/>
              </w:rPr>
              <w:t xml:space="preserve"> years</w:t>
            </w:r>
          </w:p>
        </w:tc>
      </w:tr>
      <w:tr w:rsidR="001632EF" w:rsidRPr="004009CD" w14:paraId="0ABB2888" w14:textId="77777777" w:rsidTr="001632EF">
        <w:tc>
          <w:tcPr>
            <w:tcW w:w="824" w:type="dxa"/>
          </w:tcPr>
          <w:p w14:paraId="1815BEF2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RA 2</w:t>
            </w:r>
          </w:p>
        </w:tc>
        <w:tc>
          <w:tcPr>
            <w:tcW w:w="1578" w:type="dxa"/>
          </w:tcPr>
          <w:p w14:paraId="154B0CE7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Inner regional</w:t>
            </w:r>
          </w:p>
        </w:tc>
        <w:tc>
          <w:tcPr>
            <w:tcW w:w="1137" w:type="dxa"/>
          </w:tcPr>
          <w:p w14:paraId="7B3ABC3A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3.37 days</w:t>
            </w:r>
          </w:p>
        </w:tc>
        <w:tc>
          <w:tcPr>
            <w:tcW w:w="1328" w:type="dxa"/>
          </w:tcPr>
          <w:p w14:paraId="1753F3C2" w14:textId="3A63C274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9 years</w:t>
            </w:r>
          </w:p>
        </w:tc>
      </w:tr>
      <w:tr w:rsidR="001632EF" w:rsidRPr="004009CD" w14:paraId="7EE25076" w14:textId="77777777" w:rsidTr="001632EF">
        <w:tc>
          <w:tcPr>
            <w:tcW w:w="824" w:type="dxa"/>
          </w:tcPr>
          <w:p w14:paraId="490E8EB8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RA 3</w:t>
            </w:r>
          </w:p>
        </w:tc>
        <w:tc>
          <w:tcPr>
            <w:tcW w:w="1578" w:type="dxa"/>
          </w:tcPr>
          <w:p w14:paraId="4E861437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Outer regional</w:t>
            </w:r>
          </w:p>
        </w:tc>
        <w:tc>
          <w:tcPr>
            <w:tcW w:w="1137" w:type="dxa"/>
          </w:tcPr>
          <w:p w14:paraId="08C266FD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13 days</w:t>
            </w:r>
          </w:p>
        </w:tc>
        <w:tc>
          <w:tcPr>
            <w:tcW w:w="1328" w:type="dxa"/>
          </w:tcPr>
          <w:p w14:paraId="24F5A5B1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7 years</w:t>
            </w:r>
          </w:p>
        </w:tc>
      </w:tr>
      <w:tr w:rsidR="001632EF" w:rsidRPr="004009CD" w14:paraId="4AA37961" w14:textId="77777777" w:rsidTr="001632EF">
        <w:tc>
          <w:tcPr>
            <w:tcW w:w="824" w:type="dxa"/>
          </w:tcPr>
          <w:p w14:paraId="4B35C4EA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RA 4</w:t>
            </w:r>
          </w:p>
        </w:tc>
        <w:tc>
          <w:tcPr>
            <w:tcW w:w="1578" w:type="dxa"/>
          </w:tcPr>
          <w:p w14:paraId="68D01D32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Remote</w:t>
            </w:r>
          </w:p>
        </w:tc>
        <w:tc>
          <w:tcPr>
            <w:tcW w:w="1137" w:type="dxa"/>
          </w:tcPr>
          <w:p w14:paraId="12FCFF5A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20.3 days</w:t>
            </w:r>
          </w:p>
        </w:tc>
        <w:tc>
          <w:tcPr>
            <w:tcW w:w="1328" w:type="dxa"/>
          </w:tcPr>
          <w:p w14:paraId="0EDCE0A9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6 years</w:t>
            </w:r>
          </w:p>
        </w:tc>
      </w:tr>
      <w:tr w:rsidR="001632EF" w:rsidRPr="004009CD" w14:paraId="5B6A8358" w14:textId="77777777" w:rsidTr="001632EF">
        <w:tc>
          <w:tcPr>
            <w:tcW w:w="824" w:type="dxa"/>
          </w:tcPr>
          <w:p w14:paraId="7C744ABD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RA 5</w:t>
            </w:r>
          </w:p>
        </w:tc>
        <w:tc>
          <w:tcPr>
            <w:tcW w:w="1578" w:type="dxa"/>
          </w:tcPr>
          <w:p w14:paraId="14641FF6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Very remote</w:t>
            </w:r>
          </w:p>
        </w:tc>
        <w:tc>
          <w:tcPr>
            <w:tcW w:w="1137" w:type="dxa"/>
          </w:tcPr>
          <w:p w14:paraId="602AD80A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30.4 days</w:t>
            </w:r>
          </w:p>
        </w:tc>
        <w:tc>
          <w:tcPr>
            <w:tcW w:w="1328" w:type="dxa"/>
          </w:tcPr>
          <w:p w14:paraId="66AECFE5" w14:textId="77777777" w:rsidR="004009CD" w:rsidRPr="004009CD" w:rsidRDefault="004009CD" w:rsidP="004009CD">
            <w:pPr>
              <w:pStyle w:val="BodyText"/>
              <w:widowControl w:val="0"/>
              <w:autoSpaceDE w:val="0"/>
              <w:autoSpaceDN w:val="0"/>
              <w:rPr>
                <w:rFonts w:eastAsia="Verdana"/>
                <w:color w:val="555759"/>
                <w:sz w:val="20"/>
                <w:szCs w:val="20"/>
              </w:rPr>
            </w:pPr>
            <w:r w:rsidRPr="004009CD">
              <w:rPr>
                <w:rFonts w:eastAsia="Verdana"/>
                <w:color w:val="555759"/>
                <w:sz w:val="20"/>
                <w:szCs w:val="20"/>
              </w:rPr>
              <w:t>5 years</w:t>
            </w:r>
          </w:p>
        </w:tc>
      </w:tr>
    </w:tbl>
    <w:p w14:paraId="74587642" w14:textId="77777777" w:rsidR="00917815" w:rsidRDefault="00917815" w:rsidP="00917815">
      <w:pPr>
        <w:rPr>
          <w:color w:val="9C2376"/>
          <w:lang w:val="en-AU"/>
        </w:rPr>
      </w:pPr>
    </w:p>
    <w:p w14:paraId="679C755B" w14:textId="138C18F3" w:rsidR="00105CDE" w:rsidRPr="00687C38" w:rsidRDefault="00687C38" w:rsidP="00687C38">
      <w:pPr>
        <w:pStyle w:val="Heading2"/>
        <w:spacing w:line="360" w:lineRule="auto"/>
        <w:ind w:left="0"/>
        <w:rPr>
          <w:color w:val="9C2376"/>
          <w:lang w:val="en-AU"/>
        </w:rPr>
      </w:pPr>
      <w:r>
        <w:rPr>
          <w:color w:val="9C2376"/>
          <w:lang w:val="en-AU"/>
        </w:rPr>
        <w:t>Further</w:t>
      </w:r>
      <w:r w:rsidR="00105CDE" w:rsidRPr="00917815">
        <w:rPr>
          <w:color w:val="9C2376"/>
          <w:lang w:val="en-AU"/>
        </w:rPr>
        <w:t xml:space="preserve"> information</w:t>
      </w:r>
    </w:p>
    <w:p w14:paraId="2A782239" w14:textId="14FAA678" w:rsidR="004009CD" w:rsidRPr="00AC4452" w:rsidRDefault="00687C38" w:rsidP="00D816EA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  <w:r>
        <w:rPr>
          <w:rFonts w:eastAsia="Verdana"/>
          <w:color w:val="555759"/>
          <w:sz w:val="20"/>
          <w:szCs w:val="20"/>
          <w:lang w:val="en-AU"/>
        </w:rPr>
        <w:t xml:space="preserve">To find out more about </w:t>
      </w:r>
      <w:r w:rsidR="004009CD">
        <w:rPr>
          <w:rFonts w:eastAsia="Verdana"/>
          <w:color w:val="555759"/>
          <w:sz w:val="20"/>
          <w:szCs w:val="20"/>
          <w:lang w:val="en-AU"/>
        </w:rPr>
        <w:t xml:space="preserve">the </w:t>
      </w:r>
      <w:r w:rsidR="004009CD" w:rsidRPr="00EA7CD7">
        <w:rPr>
          <w:rFonts w:eastAsia="Verdana"/>
          <w:color w:val="555759"/>
          <w:sz w:val="20"/>
          <w:szCs w:val="20"/>
          <w:lang w:val="en-AU"/>
        </w:rPr>
        <w:t>10 year moratorium</w:t>
      </w:r>
      <w:r w:rsidR="00D816EA">
        <w:rPr>
          <w:rFonts w:eastAsia="Verdana"/>
          <w:color w:val="555759"/>
          <w:sz w:val="20"/>
          <w:szCs w:val="20"/>
          <w:lang w:val="en-AU"/>
        </w:rPr>
        <w:t xml:space="preserve"> and potential scaling credits</w:t>
      </w:r>
      <w:r>
        <w:rPr>
          <w:rFonts w:eastAsia="Verdana"/>
          <w:color w:val="555759"/>
          <w:sz w:val="20"/>
          <w:szCs w:val="20"/>
          <w:lang w:val="en-AU"/>
        </w:rPr>
        <w:t xml:space="preserve">, visit </w:t>
      </w:r>
      <w:r w:rsidR="00D816EA">
        <w:rPr>
          <w:rFonts w:eastAsia="Verdana"/>
          <w:color w:val="555759"/>
          <w:sz w:val="20"/>
          <w:szCs w:val="20"/>
          <w:lang w:val="en-AU"/>
        </w:rPr>
        <w:t xml:space="preserve">the </w:t>
      </w:r>
      <w:hyperlink r:id="rId13" w:history="1">
        <w:r w:rsidR="00D816EA" w:rsidRPr="00D816EA">
          <w:rPr>
            <w:color w:val="555759"/>
            <w:sz w:val="20"/>
            <w:szCs w:val="20"/>
            <w:u w:val="single"/>
            <w:lang w:val="en-AU"/>
          </w:rPr>
          <w:t>Australi</w:t>
        </w:r>
        <w:r w:rsidR="00D816EA" w:rsidRPr="00D816EA">
          <w:rPr>
            <w:color w:val="555759"/>
            <w:sz w:val="20"/>
            <w:szCs w:val="20"/>
            <w:u w:val="single"/>
            <w:lang w:val="en-AU"/>
          </w:rPr>
          <w:t>a</w:t>
        </w:r>
        <w:r w:rsidR="00D816EA" w:rsidRPr="00D816EA">
          <w:rPr>
            <w:color w:val="555759"/>
            <w:sz w:val="20"/>
            <w:szCs w:val="20"/>
            <w:u w:val="single"/>
            <w:lang w:val="en-AU"/>
          </w:rPr>
          <w:t>n Government Department of Health</w:t>
        </w:r>
        <w:bookmarkStart w:id="2" w:name="_GoBack"/>
        <w:bookmarkEnd w:id="2"/>
        <w:r w:rsidR="00D816EA" w:rsidRPr="00D816EA">
          <w:rPr>
            <w:color w:val="555759"/>
            <w:sz w:val="20"/>
            <w:szCs w:val="20"/>
            <w:u w:val="single"/>
            <w:lang w:val="en-AU"/>
          </w:rPr>
          <w:t xml:space="preserve"> </w:t>
        </w:r>
        <w:r w:rsidR="00D816EA" w:rsidRPr="00D816EA">
          <w:rPr>
            <w:color w:val="555759"/>
            <w:sz w:val="20"/>
            <w:szCs w:val="20"/>
            <w:u w:val="single"/>
            <w:lang w:val="en-AU"/>
          </w:rPr>
          <w:t>website</w:t>
        </w:r>
      </w:hyperlink>
      <w:r w:rsidR="00D816EA" w:rsidRPr="00AC4452">
        <w:rPr>
          <w:rFonts w:eastAsia="Verdana"/>
          <w:color w:val="555759"/>
          <w:sz w:val="20"/>
          <w:szCs w:val="20"/>
          <w:lang w:val="en-AU"/>
        </w:rPr>
        <w:t>.</w:t>
      </w:r>
    </w:p>
    <w:p w14:paraId="6ED101DD" w14:textId="634164EF" w:rsidR="00187631" w:rsidRDefault="00187631" w:rsidP="00D816EA">
      <w:pPr>
        <w:pStyle w:val="BodyText"/>
        <w:spacing w:before="0"/>
        <w:rPr>
          <w:rFonts w:eastAsia="Verdana"/>
          <w:color w:val="555759"/>
          <w:sz w:val="20"/>
          <w:szCs w:val="20"/>
          <w:u w:val="single"/>
          <w:lang w:val="en-AU"/>
        </w:rPr>
      </w:pPr>
    </w:p>
    <w:p w14:paraId="5ECA0328" w14:textId="06E809AD" w:rsidR="00187631" w:rsidRDefault="00187631" w:rsidP="00D816EA">
      <w:pPr>
        <w:pStyle w:val="BodyText"/>
        <w:spacing w:before="0"/>
        <w:rPr>
          <w:rFonts w:eastAsia="Verdana"/>
          <w:color w:val="555759"/>
          <w:sz w:val="20"/>
          <w:szCs w:val="20"/>
          <w:u w:val="single"/>
          <w:lang w:val="en-AU"/>
        </w:rPr>
      </w:pPr>
    </w:p>
    <w:p w14:paraId="0EC7D3CB" w14:textId="2314D117" w:rsidR="00187631" w:rsidRDefault="00187631" w:rsidP="00D816EA">
      <w:pPr>
        <w:pStyle w:val="BodyText"/>
        <w:spacing w:before="0"/>
        <w:rPr>
          <w:rFonts w:eastAsia="Verdana"/>
          <w:color w:val="555759"/>
          <w:sz w:val="20"/>
          <w:szCs w:val="20"/>
          <w:u w:val="single"/>
          <w:lang w:val="en-AU"/>
        </w:rPr>
      </w:pPr>
    </w:p>
    <w:p w14:paraId="70A617A0" w14:textId="2EE53EC6" w:rsidR="00187631" w:rsidRDefault="00187631" w:rsidP="00D816EA">
      <w:pPr>
        <w:pStyle w:val="BodyText"/>
        <w:spacing w:before="0"/>
        <w:rPr>
          <w:rFonts w:eastAsia="Verdana"/>
          <w:color w:val="555759"/>
          <w:sz w:val="20"/>
          <w:szCs w:val="20"/>
          <w:u w:val="single"/>
          <w:lang w:val="en-AU"/>
        </w:rPr>
      </w:pPr>
    </w:p>
    <w:p w14:paraId="2BA61044" w14:textId="77777777" w:rsidR="00187631" w:rsidRPr="004009CD" w:rsidRDefault="00187631" w:rsidP="00D816EA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1610F857" w14:textId="77777777" w:rsidR="0045653B" w:rsidRDefault="0045653B" w:rsidP="00BF231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2866925B" w14:textId="77777777" w:rsidR="0045653B" w:rsidRDefault="0045653B" w:rsidP="00BF231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3D0E3657" w14:textId="77777777" w:rsidR="0045653B" w:rsidRDefault="0045653B" w:rsidP="00BF231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7FD9C224" w14:textId="77777777" w:rsidR="0045653B" w:rsidRDefault="0045653B" w:rsidP="00BF231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1114322E" w14:textId="77777777" w:rsidR="0045653B" w:rsidRDefault="0045653B" w:rsidP="00BF231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77E6AFDC" w14:textId="77777777" w:rsidR="0045653B" w:rsidRDefault="0045653B" w:rsidP="00BF231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4F661923" w14:textId="77777777" w:rsidR="0045653B" w:rsidRDefault="0045653B" w:rsidP="00BF231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13680489" w14:textId="77777777" w:rsidR="0045653B" w:rsidRDefault="0045653B" w:rsidP="00BF231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</w:pPr>
    </w:p>
    <w:p w14:paraId="6EBACDBA" w14:textId="1882B3AB" w:rsidR="00187631" w:rsidRPr="00BF2311" w:rsidRDefault="00187631" w:rsidP="00BF2311">
      <w:pPr>
        <w:pStyle w:val="BodyText"/>
        <w:spacing w:before="0"/>
        <w:rPr>
          <w:rFonts w:eastAsia="Verdana"/>
          <w:color w:val="555759"/>
          <w:sz w:val="20"/>
          <w:szCs w:val="20"/>
          <w:lang w:val="en-AU"/>
        </w:rPr>
        <w:sectPr w:rsidR="00187631" w:rsidRPr="00BF2311" w:rsidSect="0004205C">
          <w:type w:val="continuous"/>
          <w:pgSz w:w="11910" w:h="16840"/>
          <w:pgMar w:top="3119" w:right="680" w:bottom="1701" w:left="1021" w:header="720" w:footer="720" w:gutter="0"/>
          <w:cols w:num="2" w:space="454"/>
        </w:sectPr>
      </w:pPr>
    </w:p>
    <w:p w14:paraId="3509D495" w14:textId="36E661D2" w:rsidR="00633CF7" w:rsidRPr="00633CF7" w:rsidRDefault="00633CF7" w:rsidP="00633CF7">
      <w:pPr>
        <w:jc w:val="center"/>
        <w:rPr>
          <w:rFonts w:eastAsia="Verdana"/>
          <w:i/>
          <w:iCs/>
          <w:color w:val="A6A6A6" w:themeColor="background1" w:themeShade="A6"/>
          <w:sz w:val="16"/>
          <w:szCs w:val="16"/>
          <w:lang w:val="en-AU"/>
        </w:rPr>
        <w:sectPr w:rsidR="00633CF7" w:rsidRPr="00633CF7" w:rsidSect="00794362">
          <w:type w:val="continuous"/>
          <w:pgSz w:w="11910" w:h="16840"/>
          <w:pgMar w:top="2693" w:right="567" w:bottom="1701" w:left="1021" w:header="720" w:footer="720" w:gutter="0"/>
          <w:cols w:space="172" w:equalWidth="0">
            <w:col w:w="10322" w:space="172"/>
          </w:cols>
        </w:sectPr>
      </w:pPr>
      <w:r w:rsidRPr="00633CF7">
        <w:rPr>
          <w:rFonts w:eastAsia="Verdana"/>
          <w:i/>
          <w:iCs/>
          <w:color w:val="A6A6A6" w:themeColor="background1" w:themeShade="A6"/>
          <w:sz w:val="16"/>
          <w:szCs w:val="16"/>
          <w:lang w:val="en-AU"/>
        </w:rPr>
        <w:t>Whilst all care has been taken in preparing this document, this information is a guide only and subject to change without notice</w:t>
      </w:r>
      <w:r>
        <w:rPr>
          <w:rFonts w:eastAsia="Verdana"/>
          <w:i/>
          <w:iCs/>
          <w:color w:val="A6A6A6" w:themeColor="background1" w:themeShade="A6"/>
          <w:sz w:val="16"/>
          <w:szCs w:val="16"/>
          <w:lang w:val="en-AU"/>
        </w:rPr>
        <w:t>.</w:t>
      </w:r>
    </w:p>
    <w:p w14:paraId="119E8798" w14:textId="44AD329F" w:rsidR="003C615E" w:rsidRDefault="003C615E" w:rsidP="00187631">
      <w:pPr>
        <w:pStyle w:val="BodyText"/>
        <w:tabs>
          <w:tab w:val="left" w:pos="6140"/>
        </w:tabs>
        <w:spacing w:before="11"/>
        <w:rPr>
          <w:color w:val="9C2377"/>
          <w:sz w:val="20"/>
          <w:szCs w:val="20"/>
        </w:rPr>
      </w:pPr>
    </w:p>
    <w:p w14:paraId="577A91BE" w14:textId="53DF489C" w:rsidR="00187631" w:rsidRPr="00187631" w:rsidRDefault="00187631" w:rsidP="00187631">
      <w:pPr>
        <w:tabs>
          <w:tab w:val="left" w:pos="6140"/>
        </w:tabs>
        <w:sectPr w:rsidR="00187631" w:rsidRPr="00187631" w:rsidSect="008D7764">
          <w:type w:val="continuous"/>
          <w:pgSz w:w="11910" w:h="16840"/>
          <w:pgMar w:top="2200" w:right="1021" w:bottom="1701" w:left="1021" w:header="720" w:footer="720" w:gutter="0"/>
          <w:cols w:space="720"/>
        </w:sectPr>
      </w:pPr>
      <w:r>
        <w:tab/>
      </w:r>
    </w:p>
    <w:p w14:paraId="324AEA6B" w14:textId="0F735B19" w:rsidR="00BA1075" w:rsidRPr="009D77CB" w:rsidRDefault="00BA1075" w:rsidP="003C615E">
      <w:pPr>
        <w:pStyle w:val="BodyText"/>
        <w:spacing w:before="11"/>
        <w:ind w:left="142"/>
        <w:rPr>
          <w:color w:val="9C2377"/>
          <w:sz w:val="20"/>
          <w:szCs w:val="20"/>
        </w:rPr>
      </w:pPr>
    </w:p>
    <w:sectPr w:rsidR="00BA1075" w:rsidRPr="009D77CB" w:rsidSect="008D7764">
      <w:type w:val="continuous"/>
      <w:pgSz w:w="11910" w:h="16840"/>
      <w:pgMar w:top="2200" w:right="1021" w:bottom="170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4DBEF" w14:textId="77777777" w:rsidR="00FF20B8" w:rsidRDefault="00FF20B8" w:rsidP="00DE493B">
      <w:r>
        <w:separator/>
      </w:r>
    </w:p>
  </w:endnote>
  <w:endnote w:type="continuationSeparator" w:id="0">
    <w:p w14:paraId="48802072" w14:textId="77777777" w:rsidR="00FF20B8" w:rsidRDefault="00FF20B8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3D51B" w14:textId="06AFBCA3" w:rsidR="008D7764" w:rsidRDefault="007B0239" w:rsidP="00187631">
    <w:pPr>
      <w:pStyle w:val="Footer"/>
      <w:tabs>
        <w:tab w:val="clear" w:pos="4680"/>
        <w:tab w:val="clear" w:pos="9360"/>
        <w:tab w:val="left" w:pos="642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5AB8724" wp14:editId="4D7A3ACA">
          <wp:simplePos x="0" y="0"/>
          <wp:positionH relativeFrom="column">
            <wp:posOffset>-631825</wp:posOffset>
          </wp:positionH>
          <wp:positionV relativeFrom="paragraph">
            <wp:posOffset>-571500</wp:posOffset>
          </wp:positionV>
          <wp:extent cx="7549515" cy="1040130"/>
          <wp:effectExtent l="0" t="0" r="0" b="762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63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20253" w14:textId="77777777" w:rsidR="00FF20B8" w:rsidRDefault="00FF20B8" w:rsidP="00DE493B">
      <w:r>
        <w:separator/>
      </w:r>
    </w:p>
  </w:footnote>
  <w:footnote w:type="continuationSeparator" w:id="0">
    <w:p w14:paraId="5885510E" w14:textId="77777777" w:rsidR="00FF20B8" w:rsidRDefault="00FF20B8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67EE5" w14:textId="681A5C9F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5A29316" wp14:editId="3C740473">
              <wp:simplePos x="0" y="0"/>
              <wp:positionH relativeFrom="page">
                <wp:posOffset>5404485</wp:posOffset>
              </wp:positionH>
              <wp:positionV relativeFrom="page">
                <wp:posOffset>1016000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9F84C" w14:textId="1D8D4DD6" w:rsidR="00E7390C" w:rsidRDefault="00D16A0D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06D7511B" w14:textId="72412EB0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>
                            <w:rPr>
                              <w:color w:val="9C2376"/>
                            </w:rPr>
                            <w:t>V</w:t>
                          </w:r>
                          <w:r w:rsidR="007B5682">
                            <w:rPr>
                              <w:color w:val="9C2376"/>
                            </w:rPr>
                            <w:t>2</w:t>
                          </w:r>
                          <w:r w:rsidR="00D16A0D">
                            <w:rPr>
                              <w:color w:val="9C2376"/>
                            </w:rPr>
                            <w:t xml:space="preserve"> /</w:t>
                          </w:r>
                          <w:r>
                            <w:rPr>
                              <w:color w:val="9C2376"/>
                            </w:rPr>
                            <w:t xml:space="preserve"> </w:t>
                          </w:r>
                          <w:r w:rsidR="00D16A0D">
                            <w:rPr>
                              <w:color w:val="9C2376"/>
                            </w:rPr>
                            <w:t>August 20</w:t>
                          </w:r>
                          <w:r w:rsidR="009C6BFB">
                            <w:rPr>
                              <w:color w:val="9C237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A293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5.55pt;margin-top:80pt;width:115.1pt;height:3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FWLgIAAB4EAAAOAAAAZHJzL2Uyb0RvYy54bWysU9uOmzAQfa/Uf7D8ToAsIYBCVpsQqkrb&#10;i7TbD3CMCahgu7YT2Fb9945Nkk3bt6ov1ng8c2bmnPHqfuw7dGJKt4LnOJwFGDFORdXyQ46/PJde&#10;gpE2hFekE5zl+IVpfL9++2Y1yIzNRSO6iikEIFxng8xxY4zMfF/ThvVEz4RkHB5roXpi4KoOfqXI&#10;AOh958+DIPYHoSqpBGVag7eYHvHa4dc1o+ZTXWtmUJdj6M24U7lzb09/vSLZQRHZtPTcBvmHLnrS&#10;cih6hSqIIeio2r+g+pYqoUVtZlT0vqjrljI3A0wTBn9M89QQydwsQI6WV5r0/4OlH0+fFWqrHEcY&#10;cdKDRM9sNGgjRhRadgapMwh6khBmRnCDym5SLR8F/aohxL+JmRK0jd4PH0QFeORohMsYa9VbjmBq&#10;BDAgx8tVAluTWuwoDpdLeKLwdpek88XCduGT7JItlTbvmOiRNXKsQGKHTk6P2kyhlxBbjIuy7Trw&#10;k6zjvzkAc/JAbUi1b7YLp9qPNEh3yS6JvGge77woqCrvodxGXlyGy0VxV2y3Rfhz2p6bpHAeBZt5&#10;6pVxsvSiOlp46TJIvCBMN2kcRGlUlC4JSl+KOvIsXxNzZtyP0KxldC+qF6BRiWlp4ZOB0Qj1HaMB&#10;FjbH+tuRKIZR957DRtjtvhjqYuwvBuEUUnNsMJrMrZl+wVGq9tAA8qQqFw8gV906Jl+7OIsMS+i0&#10;OH8Yu+W3dxf1+q3XvwAAAP//AwBQSwMEFAAGAAgAAAAhANw5sFHgAAAADAEAAA8AAABkcnMvZG93&#10;bnJldi54bWxMj8FOwzAQRO9I/IO1lbhRO0FEIY1TVQhOSIg0HDg6sZtYjdchdtvw92xPcNvRPM3O&#10;lNvFjexs5mA9SkjWApjBzmuLvYTP5vU+BxaiQq1Gj0bCjwmwrW5vSlVof8HanPexZxSCoVAShhin&#10;gvPQDcapsPaTQfIOfnYqkpx7rmd1oXA38lSIjDtlkT4MajLPg+mO+5OTsPvC+sV+v7cf9aG2TfMk&#10;8C07Snm3WnYbYNEs8Q+Ga32qDhV1av0JdWCjhPwxSQglIxM06kqIPHkA1kpIUzp4VfL/I6pfAAAA&#10;//8DAFBLAQItABQABgAIAAAAIQC2gziS/gAAAOEBAAATAAAAAAAAAAAAAAAAAAAAAABbQ29udGVu&#10;dF9UeXBlc10ueG1sUEsBAi0AFAAGAAgAAAAhADj9If/WAAAAlAEAAAsAAAAAAAAAAAAAAAAALwEA&#10;AF9yZWxzLy5yZWxzUEsBAi0AFAAGAAgAAAAhAOinkVYuAgAAHgQAAA4AAAAAAAAAAAAAAAAALgIA&#10;AGRycy9lMm9Eb2MueG1sUEsBAi0AFAAGAAgAAAAhANw5sFHgAAAADAEAAA8AAAAAAAAAAAAAAAAA&#10;iAQAAGRycy9kb3ducmV2LnhtbFBLBQYAAAAABAAEAPMAAACVBQAAAAA=&#10;" filled="f" stroked="f">
              <v:textbox inset="0,0,0,0">
                <w:txbxContent>
                  <w:p w14:paraId="2D99F84C" w14:textId="1D8D4DD6" w:rsidR="00E7390C" w:rsidRDefault="00D16A0D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06D7511B" w14:textId="72412EB0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proofErr w:type="spellStart"/>
                    <w:r>
                      <w:rPr>
                        <w:color w:val="9C2376"/>
                      </w:rPr>
                      <w:t>V</w:t>
                    </w:r>
                    <w:r w:rsidR="007B5682">
                      <w:rPr>
                        <w:color w:val="9C2376"/>
                      </w:rPr>
                      <w:t>2</w:t>
                    </w:r>
                    <w:proofErr w:type="spellEnd"/>
                    <w:r w:rsidR="00D16A0D">
                      <w:rPr>
                        <w:color w:val="9C2376"/>
                      </w:rPr>
                      <w:t xml:space="preserve"> /</w:t>
                    </w:r>
                    <w:r>
                      <w:rPr>
                        <w:color w:val="9C2376"/>
                      </w:rPr>
                      <w:t xml:space="preserve"> </w:t>
                    </w:r>
                    <w:r w:rsidR="00D16A0D">
                      <w:rPr>
                        <w:color w:val="9C2376"/>
                      </w:rPr>
                      <w:t>August 20</w:t>
                    </w:r>
                    <w:r w:rsidR="009C6BFB">
                      <w:rPr>
                        <w:color w:val="9C237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B0239">
      <w:rPr>
        <w:noProof/>
      </w:rPr>
      <w:drawing>
        <wp:anchor distT="0" distB="0" distL="114300" distR="114300" simplePos="0" relativeHeight="251659264" behindDoc="1" locked="0" layoutInCell="1" allowOverlap="1" wp14:anchorId="3AF3AE00" wp14:editId="277C56CA">
          <wp:simplePos x="0" y="0"/>
          <wp:positionH relativeFrom="column">
            <wp:posOffset>-622300</wp:posOffset>
          </wp:positionH>
          <wp:positionV relativeFrom="page">
            <wp:posOffset>25400</wp:posOffset>
          </wp:positionV>
          <wp:extent cx="7552690" cy="173863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1724"/>
    <w:multiLevelType w:val="hybridMultilevel"/>
    <w:tmpl w:val="C9C4E06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8393E63"/>
    <w:multiLevelType w:val="hybridMultilevel"/>
    <w:tmpl w:val="41283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05554"/>
    <w:multiLevelType w:val="hybridMultilevel"/>
    <w:tmpl w:val="8500E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C6A51"/>
    <w:multiLevelType w:val="hybridMultilevel"/>
    <w:tmpl w:val="C5FE39E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739"/>
    <w:rsid w:val="00034E23"/>
    <w:rsid w:val="0004205C"/>
    <w:rsid w:val="0004424E"/>
    <w:rsid w:val="00080187"/>
    <w:rsid w:val="0009209D"/>
    <w:rsid w:val="000B1B76"/>
    <w:rsid w:val="000E1493"/>
    <w:rsid w:val="000E2604"/>
    <w:rsid w:val="000F7F29"/>
    <w:rsid w:val="00104E55"/>
    <w:rsid w:val="00105CDE"/>
    <w:rsid w:val="001632EF"/>
    <w:rsid w:val="00164923"/>
    <w:rsid w:val="00187631"/>
    <w:rsid w:val="001C3E2A"/>
    <w:rsid w:val="001F7160"/>
    <w:rsid w:val="00267ACA"/>
    <w:rsid w:val="00272A12"/>
    <w:rsid w:val="002D7B0A"/>
    <w:rsid w:val="00313609"/>
    <w:rsid w:val="00340993"/>
    <w:rsid w:val="003B0322"/>
    <w:rsid w:val="003C615E"/>
    <w:rsid w:val="003E0743"/>
    <w:rsid w:val="004009CD"/>
    <w:rsid w:val="00403915"/>
    <w:rsid w:val="0045653B"/>
    <w:rsid w:val="0046131D"/>
    <w:rsid w:val="004660C3"/>
    <w:rsid w:val="00486464"/>
    <w:rsid w:val="00493C45"/>
    <w:rsid w:val="004D7FE1"/>
    <w:rsid w:val="004F43B4"/>
    <w:rsid w:val="00536F56"/>
    <w:rsid w:val="005D14FB"/>
    <w:rsid w:val="00602712"/>
    <w:rsid w:val="00633CF7"/>
    <w:rsid w:val="00636494"/>
    <w:rsid w:val="00677602"/>
    <w:rsid w:val="00687C38"/>
    <w:rsid w:val="006C2EE8"/>
    <w:rsid w:val="006E7FE4"/>
    <w:rsid w:val="007271FE"/>
    <w:rsid w:val="00742A2C"/>
    <w:rsid w:val="007555DB"/>
    <w:rsid w:val="00756A90"/>
    <w:rsid w:val="007952DD"/>
    <w:rsid w:val="007B0239"/>
    <w:rsid w:val="007B5682"/>
    <w:rsid w:val="008C29B3"/>
    <w:rsid w:val="008D7764"/>
    <w:rsid w:val="008E4A1A"/>
    <w:rsid w:val="009078F9"/>
    <w:rsid w:val="00917815"/>
    <w:rsid w:val="0093117C"/>
    <w:rsid w:val="00984428"/>
    <w:rsid w:val="009C6739"/>
    <w:rsid w:val="009C6BFB"/>
    <w:rsid w:val="009D77CB"/>
    <w:rsid w:val="00A3650D"/>
    <w:rsid w:val="00A601CF"/>
    <w:rsid w:val="00A90C8D"/>
    <w:rsid w:val="00AA3FD2"/>
    <w:rsid w:val="00AB4B44"/>
    <w:rsid w:val="00AC4452"/>
    <w:rsid w:val="00AC7D57"/>
    <w:rsid w:val="00AD7ABE"/>
    <w:rsid w:val="00AE2288"/>
    <w:rsid w:val="00B56D74"/>
    <w:rsid w:val="00B91350"/>
    <w:rsid w:val="00B92D22"/>
    <w:rsid w:val="00BA1075"/>
    <w:rsid w:val="00BA3752"/>
    <w:rsid w:val="00BA525C"/>
    <w:rsid w:val="00BF2311"/>
    <w:rsid w:val="00C2475E"/>
    <w:rsid w:val="00CB02C1"/>
    <w:rsid w:val="00CC2040"/>
    <w:rsid w:val="00D12207"/>
    <w:rsid w:val="00D16A0D"/>
    <w:rsid w:val="00D42644"/>
    <w:rsid w:val="00D55BF8"/>
    <w:rsid w:val="00D816EA"/>
    <w:rsid w:val="00DE493B"/>
    <w:rsid w:val="00DF0314"/>
    <w:rsid w:val="00DF0C84"/>
    <w:rsid w:val="00E72D33"/>
    <w:rsid w:val="00E7390C"/>
    <w:rsid w:val="00E835D1"/>
    <w:rsid w:val="00EA7CD7"/>
    <w:rsid w:val="00F34C4F"/>
    <w:rsid w:val="00F636E1"/>
    <w:rsid w:val="00F65F01"/>
    <w:rsid w:val="00FA21D8"/>
    <w:rsid w:val="00FF20B8"/>
    <w:rsid w:val="00FF2DF8"/>
    <w:rsid w:val="00FF7077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757D0D6"/>
  <w15:docId w15:val="{560CEE7E-A457-468A-B948-C07F579D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13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qFormat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7C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9C6BFB"/>
    <w:rPr>
      <w:rFonts w:ascii="Arial" w:eastAsia="Arial" w:hAnsi="Arial" w:cs="Arial"/>
      <w:sz w:val="17"/>
      <w:szCs w:val="17"/>
      <w:lang w:bidi="en-US"/>
    </w:rPr>
  </w:style>
  <w:style w:type="table" w:styleId="TableGrid">
    <w:name w:val="Table Grid"/>
    <w:basedOn w:val="TableNormal"/>
    <w:uiPriority w:val="59"/>
    <w:rsid w:val="004009CD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816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health.gov.au/health-workforce/medicare-billing-restrictions/10-year-moratorium-scal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rvicesaustralia.gov.au/organisations/health-professionals/services/medicare/hp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Series/C2004A001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alth.gov.au/health-workforce/medicare-billing-restrictions/section-19ab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F87F-E4C4-4148-9F26-6480EF50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Des.Hameister@wapha.org.au</dc:creator>
  <cp:lastModifiedBy>Des Hameister</cp:lastModifiedBy>
  <cp:revision>20</cp:revision>
  <dcterms:created xsi:type="dcterms:W3CDTF">2020-08-25T08:39:00Z</dcterms:created>
  <dcterms:modified xsi:type="dcterms:W3CDTF">2020-08-27T09:21:00Z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</Properties>
</file>